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55C27DAB"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w:t>
      </w:r>
      <w:r w:rsidR="00B426A7">
        <w:rPr>
          <w:rFonts w:cs="Arial"/>
          <w:sz w:val="24"/>
          <w:szCs w:val="24"/>
        </w:rPr>
        <w:t>7</w:t>
      </w:r>
      <w:r>
        <w:rPr>
          <w:rFonts w:cs="Arial"/>
          <w:sz w:val="24"/>
          <w:szCs w:val="24"/>
        </w:rPr>
        <w:t>-</w:t>
      </w:r>
      <w:r w:rsidR="006F1CCA">
        <w:rPr>
          <w:rFonts w:cs="Arial"/>
          <w:sz w:val="24"/>
          <w:szCs w:val="24"/>
        </w:rPr>
        <w:t>e</w:t>
      </w:r>
      <w:r>
        <w:rPr>
          <w:rFonts w:cs="Arial"/>
          <w:sz w:val="24"/>
          <w:szCs w:val="24"/>
        </w:rPr>
        <w:tab/>
        <w:t>R4-20</w:t>
      </w:r>
      <w:r w:rsidR="001843A3">
        <w:rPr>
          <w:rFonts w:cs="Arial"/>
          <w:sz w:val="24"/>
          <w:szCs w:val="24"/>
        </w:rPr>
        <w:t>14589</w:t>
      </w:r>
    </w:p>
    <w:p w14:paraId="743570D8" w14:textId="70BD1348"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2nd</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13th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17D68868"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4A2DBE">
        <w:rPr>
          <w:rFonts w:ascii="Arial" w:hAnsi="Arial"/>
          <w:sz w:val="24"/>
        </w:rPr>
        <w:t>12.</w:t>
      </w:r>
      <w:r w:rsidR="00040F7D">
        <w:rPr>
          <w:rFonts w:ascii="Arial" w:hAnsi="Arial"/>
          <w:sz w:val="24"/>
        </w:rPr>
        <w:t>3</w:t>
      </w:r>
      <w:r w:rsidR="004A2DBE">
        <w:rPr>
          <w:rFonts w:ascii="Arial" w:hAnsi="Arial"/>
          <w:sz w:val="24"/>
        </w:rPr>
        <w:t>.</w:t>
      </w:r>
      <w:r w:rsidR="00040F7D">
        <w:rPr>
          <w:rFonts w:ascii="Arial" w:hAnsi="Arial"/>
          <w:sz w:val="24"/>
        </w:rPr>
        <w:t>2.1.</w:t>
      </w:r>
      <w:r w:rsidR="00B47039">
        <w:rPr>
          <w:rFonts w:ascii="Arial" w:hAnsi="Arial"/>
          <w:sz w:val="24"/>
        </w:rPr>
        <w:t>4</w:t>
      </w:r>
    </w:p>
    <w:p w14:paraId="64474F5E" w14:textId="3B254EB1"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07D4B037"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47039">
        <w:rPr>
          <w:rFonts w:ascii="Arial" w:hAnsi="Arial"/>
          <w:sz w:val="24"/>
        </w:rPr>
        <w:t>UE requirements for CA_258A-n260A and CA_257A-n259A based on IBM</w:t>
      </w:r>
    </w:p>
    <w:p w14:paraId="47130695" w14:textId="54F5E09A"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6F1CCA">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2908D15" w14:textId="68E9810F" w:rsidR="006B4115" w:rsidRDefault="00E21FF2" w:rsidP="00122353">
      <w:pPr>
        <w:jc w:val="both"/>
        <w:rPr>
          <w:rFonts w:ascii="Arial" w:hAnsi="Arial" w:cs="Arial"/>
          <w:sz w:val="20"/>
          <w:szCs w:val="20"/>
        </w:rPr>
      </w:pPr>
      <w:r>
        <w:rPr>
          <w:rFonts w:ascii="Arial" w:hAnsi="Arial" w:cs="Arial"/>
          <w:sz w:val="20"/>
          <w:szCs w:val="20"/>
        </w:rPr>
        <w:t>IBM is only considered for CA_n260A-n261A in Rel-16</w:t>
      </w:r>
      <w:r w:rsidR="00B47039">
        <w:rPr>
          <w:rFonts w:ascii="Arial" w:hAnsi="Arial" w:cs="Arial"/>
          <w:sz w:val="20"/>
          <w:szCs w:val="20"/>
        </w:rPr>
        <w:t xml:space="preserve"> and corresponding RF requirements are specified in 38.101-2 V16.5.0</w:t>
      </w:r>
      <w:r w:rsidR="00E10A5F">
        <w:rPr>
          <w:rFonts w:ascii="Arial" w:hAnsi="Arial" w:cs="Arial"/>
          <w:sz w:val="20"/>
          <w:szCs w:val="20"/>
        </w:rPr>
        <w:t>.</w:t>
      </w:r>
      <w:r w:rsidR="00774A13">
        <w:rPr>
          <w:rFonts w:ascii="Arial" w:hAnsi="Arial" w:cs="Arial"/>
          <w:sz w:val="20"/>
          <w:szCs w:val="20"/>
        </w:rPr>
        <w:t xml:space="preserve"> In Rel-17 FR2 RF WID [2], one objective is to define the requirements </w:t>
      </w:r>
      <w:r w:rsidR="00774A13" w:rsidRPr="00774A13">
        <w:rPr>
          <w:rFonts w:ascii="Arial" w:hAnsi="Arial" w:cs="Arial"/>
          <w:sz w:val="20"/>
          <w:szCs w:val="20"/>
        </w:rPr>
        <w:t>for CA_n258A-n260A and CA_n257A-n259A based on IBM</w:t>
      </w:r>
      <w:r w:rsidR="00774A13">
        <w:rPr>
          <w:rFonts w:ascii="Arial" w:hAnsi="Arial" w:cs="Arial"/>
          <w:sz w:val="20"/>
          <w:szCs w:val="20"/>
        </w:rPr>
        <w:t xml:space="preserve">. In this contribution, </w:t>
      </w:r>
      <w:r w:rsidR="003305F3">
        <w:rPr>
          <w:rFonts w:ascii="Arial" w:hAnsi="Arial" w:cs="Arial"/>
          <w:sz w:val="20"/>
          <w:szCs w:val="20"/>
        </w:rPr>
        <w:t>we provide our analysis to these two band combinations and corresponding requirements.</w:t>
      </w:r>
    </w:p>
    <w:p w14:paraId="2DACFD34" w14:textId="211EE71C"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6571A778" w14:textId="22D01077" w:rsidR="00117A9B" w:rsidRDefault="00040F7D" w:rsidP="00B32EDD">
      <w:pPr>
        <w:rPr>
          <w:rFonts w:ascii="Arial" w:hAnsi="Arial" w:cs="Arial"/>
          <w:sz w:val="20"/>
          <w:szCs w:val="20"/>
          <w:lang w:val="en-GB"/>
        </w:rPr>
      </w:pPr>
      <w:r w:rsidRPr="00D64C92">
        <w:rPr>
          <w:rFonts w:cs="Arial"/>
          <w:noProof/>
          <w:sz w:val="20"/>
        </w:rPr>
        <mc:AlternateContent>
          <mc:Choice Requires="wps">
            <w:drawing>
              <wp:anchor distT="45720" distB="45720" distL="114300" distR="114300" simplePos="0" relativeHeight="251659264" behindDoc="0" locked="0" layoutInCell="1" allowOverlap="1" wp14:anchorId="6A99069F" wp14:editId="5FD52EE1">
                <wp:simplePos x="0" y="0"/>
                <wp:positionH relativeFrom="margin">
                  <wp:align>center</wp:align>
                </wp:positionH>
                <wp:positionV relativeFrom="paragraph">
                  <wp:posOffset>277148</wp:posOffset>
                </wp:positionV>
                <wp:extent cx="6178550" cy="847725"/>
                <wp:effectExtent l="0" t="0" r="1270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847725"/>
                        </a:xfrm>
                        <a:prstGeom prst="rect">
                          <a:avLst/>
                        </a:prstGeom>
                        <a:solidFill>
                          <a:srgbClr val="FFFFFF"/>
                        </a:solidFill>
                        <a:ln w="9525">
                          <a:solidFill>
                            <a:srgbClr val="000000"/>
                          </a:solidFill>
                          <a:miter lim="800000"/>
                          <a:headEnd/>
                          <a:tailEnd/>
                        </a:ln>
                      </wps:spPr>
                      <wps:txbx>
                        <w:txbxContent>
                          <w:p w14:paraId="1978FB9A" w14:textId="610910E3" w:rsidR="000A40BA" w:rsidRDefault="000A40BA" w:rsidP="001E6097">
                            <w:pPr>
                              <w:tabs>
                                <w:tab w:val="num" w:pos="2160"/>
                              </w:tabs>
                            </w:pPr>
                            <w:r w:rsidRPr="001E6097">
                              <w:t>Inter-band DL CA enhancements</w:t>
                            </w:r>
                          </w:p>
                          <w:p w14:paraId="132B0680" w14:textId="77777777" w:rsidR="000A40BA" w:rsidRPr="003305F3" w:rsidRDefault="000A40BA" w:rsidP="003305F3">
                            <w:pPr>
                              <w:numPr>
                                <w:ilvl w:val="2"/>
                                <w:numId w:val="48"/>
                              </w:numPr>
                            </w:pPr>
                            <w:r w:rsidRPr="003305F3">
                              <w:t>Define requirements for CA_n258A-n260A and CA_n257A-n259A based on IBM (Note these CA configurations will be moved to Basket WI in RAN#90 and more combinations may be added to Basket WI later).</w:t>
                            </w:r>
                          </w:p>
                          <w:p w14:paraId="33D9B8A5" w14:textId="77777777" w:rsidR="000A40BA" w:rsidRPr="001E6097" w:rsidRDefault="000A40BA" w:rsidP="001E6097">
                            <w:pPr>
                              <w:tabs>
                                <w:tab w:val="num" w:pos="2160"/>
                              </w:tabs>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99069F" id="_x0000_t202" coordsize="21600,21600" o:spt="202" path="m,l,21600r21600,l21600,xe">
                <v:stroke joinstyle="miter"/>
                <v:path gradientshapeok="t" o:connecttype="rect"/>
              </v:shapetype>
              <v:shape id="Text Box 2" o:spid="_x0000_s1026" type="#_x0000_t202" style="position:absolute;margin-left:0;margin-top:21.8pt;width:486.5pt;height:66.7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">
                <v:textbox>
                  <w:txbxContent>
                    <w:p w14:paraId="1978FB9A" w14:textId="610910E3" w:rsidR="000A40BA" w:rsidRDefault="000A40BA" w:rsidP="001E6097">
                      <w:pPr>
                        <w:tabs>
                          <w:tab w:val="num" w:pos="2160"/>
                        </w:tabs>
                      </w:pPr>
                      <w:r w:rsidRPr="001E6097">
                        <w:t>Inter-band DL CA enhancements</w:t>
                      </w:r>
                    </w:p>
                    <w:p w14:paraId="132B0680" w14:textId="77777777" w:rsidR="000A40BA" w:rsidRPr="003305F3" w:rsidRDefault="000A40BA" w:rsidP="003305F3">
                      <w:pPr>
                        <w:numPr>
                          <w:ilvl w:val="2"/>
                          <w:numId w:val="48"/>
                        </w:numPr>
                      </w:pPr>
                      <w:r w:rsidRPr="003305F3">
                        <w:t>Define requirements for CA_n258A-n260A and CA_n257A-n259A based on IBM (Note these CA configurations will be moved to Basket WI in RAN#90 and more combinations may be added to Basket WI later).</w:t>
                      </w:r>
                    </w:p>
                    <w:p w14:paraId="33D9B8A5" w14:textId="77777777" w:rsidR="000A40BA" w:rsidRPr="001E6097" w:rsidRDefault="000A40BA" w:rsidP="001E6097">
                      <w:pPr>
                        <w:tabs>
                          <w:tab w:val="num" w:pos="2160"/>
                        </w:tabs>
                      </w:pPr>
                    </w:p>
                  </w:txbxContent>
                </v:textbox>
                <w10:wrap type="square" anchorx="margin"/>
              </v:shape>
            </w:pict>
          </mc:Fallback>
        </mc:AlternateContent>
      </w:r>
      <w:r>
        <w:rPr>
          <w:rFonts w:ascii="Arial" w:hAnsi="Arial" w:cs="Arial"/>
          <w:sz w:val="20"/>
          <w:szCs w:val="20"/>
          <w:lang w:val="en-GB"/>
        </w:rPr>
        <w:t>In Rel-17 FR2 RF WID [</w:t>
      </w:r>
      <w:r w:rsidR="00876906">
        <w:rPr>
          <w:rFonts w:ascii="Arial" w:hAnsi="Arial" w:cs="Arial"/>
          <w:sz w:val="20"/>
          <w:szCs w:val="20"/>
          <w:lang w:val="en-GB"/>
        </w:rPr>
        <w:t>1</w:t>
      </w:r>
      <w:r>
        <w:rPr>
          <w:rFonts w:ascii="Arial" w:hAnsi="Arial" w:cs="Arial"/>
          <w:sz w:val="20"/>
          <w:szCs w:val="20"/>
          <w:lang w:val="en-GB"/>
        </w:rPr>
        <w:t>], one of objective</w:t>
      </w:r>
      <w:r w:rsidR="001E6097">
        <w:rPr>
          <w:rFonts w:ascii="Arial" w:hAnsi="Arial" w:cs="Arial"/>
          <w:sz w:val="20"/>
          <w:szCs w:val="20"/>
          <w:lang w:val="en-GB"/>
        </w:rPr>
        <w:t xml:space="preserve"> for inter-band DL CA enhancements</w:t>
      </w:r>
      <w:r>
        <w:rPr>
          <w:rFonts w:ascii="Arial" w:hAnsi="Arial" w:cs="Arial"/>
          <w:sz w:val="20"/>
          <w:szCs w:val="20"/>
          <w:lang w:val="en-GB"/>
        </w:rPr>
        <w:t xml:space="preserve"> is</w:t>
      </w:r>
    </w:p>
    <w:p w14:paraId="21B876DF" w14:textId="77777777" w:rsidR="003305F3" w:rsidRDefault="003305F3" w:rsidP="00B32EDD">
      <w:pPr>
        <w:rPr>
          <w:rFonts w:ascii="Arial" w:hAnsi="Arial" w:cs="Arial"/>
          <w:sz w:val="20"/>
          <w:szCs w:val="20"/>
          <w:lang w:val="en-GB"/>
        </w:rPr>
      </w:pPr>
    </w:p>
    <w:p w14:paraId="14C1B765" w14:textId="66A09809" w:rsidR="003305F3" w:rsidRDefault="003305F3" w:rsidP="00B32EDD">
      <w:pPr>
        <w:rPr>
          <w:rFonts w:ascii="Arial" w:hAnsi="Arial" w:cs="Arial"/>
          <w:sz w:val="20"/>
          <w:szCs w:val="20"/>
          <w:lang w:val="en-GB"/>
        </w:rPr>
      </w:pPr>
      <w:r>
        <w:rPr>
          <w:rFonts w:ascii="Arial" w:hAnsi="Arial" w:cs="Arial"/>
          <w:sz w:val="20"/>
          <w:szCs w:val="20"/>
          <w:lang w:val="en-GB"/>
        </w:rPr>
        <w:t xml:space="preserve">In order to define the </w:t>
      </w:r>
      <w:r w:rsidR="0051261D">
        <w:rPr>
          <w:rFonts w:ascii="Arial" w:hAnsi="Arial" w:cs="Arial"/>
          <w:sz w:val="20"/>
          <w:szCs w:val="20"/>
        </w:rPr>
        <w:t xml:space="preserve">requirements </w:t>
      </w:r>
      <w:r w:rsidR="0051261D" w:rsidRPr="00774A13">
        <w:rPr>
          <w:rFonts w:ascii="Arial" w:hAnsi="Arial" w:cs="Arial"/>
          <w:sz w:val="20"/>
          <w:szCs w:val="20"/>
        </w:rPr>
        <w:t>for CA_n258A-n260A and CA_n257A-n259A based on IBM</w:t>
      </w:r>
      <w:r>
        <w:rPr>
          <w:rFonts w:ascii="Arial" w:hAnsi="Arial" w:cs="Arial"/>
          <w:sz w:val="20"/>
          <w:szCs w:val="20"/>
          <w:lang w:val="en-GB"/>
        </w:rPr>
        <w:t>, let</w:t>
      </w:r>
      <w:r w:rsidR="0051261D">
        <w:rPr>
          <w:rFonts w:ascii="Arial" w:hAnsi="Arial" w:cs="Arial"/>
          <w:sz w:val="20"/>
          <w:szCs w:val="20"/>
          <w:lang w:val="en-GB"/>
        </w:rPr>
        <w:t>’s</w:t>
      </w:r>
      <w:r>
        <w:rPr>
          <w:rFonts w:ascii="Arial" w:hAnsi="Arial" w:cs="Arial"/>
          <w:sz w:val="20"/>
          <w:szCs w:val="20"/>
          <w:lang w:val="en-GB"/>
        </w:rPr>
        <w:t xml:space="preserve"> </w:t>
      </w:r>
      <w:r w:rsidR="0051261D">
        <w:rPr>
          <w:rFonts w:ascii="Arial" w:hAnsi="Arial" w:cs="Arial"/>
          <w:sz w:val="20"/>
          <w:szCs w:val="20"/>
          <w:lang w:val="en-GB"/>
        </w:rPr>
        <w:t xml:space="preserve">calculate the </w:t>
      </w:r>
      <w:r>
        <w:rPr>
          <w:rFonts w:ascii="Arial" w:hAnsi="Arial" w:cs="Arial"/>
          <w:sz w:val="20"/>
          <w:szCs w:val="20"/>
          <w:lang w:val="en-GB"/>
        </w:rPr>
        <w:t xml:space="preserve">frequency gap between </w:t>
      </w:r>
      <w:r w:rsidR="0051261D">
        <w:rPr>
          <w:rFonts w:ascii="Arial" w:hAnsi="Arial" w:cs="Arial"/>
          <w:sz w:val="20"/>
          <w:szCs w:val="20"/>
          <w:lang w:val="en-GB"/>
        </w:rPr>
        <w:t xml:space="preserve">upper band edge in lower band and lower band edge on </w:t>
      </w:r>
      <w:r w:rsidR="000B653C">
        <w:rPr>
          <w:rFonts w:ascii="Arial" w:hAnsi="Arial" w:cs="Arial"/>
          <w:sz w:val="20"/>
          <w:szCs w:val="20"/>
          <w:lang w:val="en-GB"/>
        </w:rPr>
        <w:t>upper</w:t>
      </w:r>
      <w:r w:rsidR="0051261D">
        <w:rPr>
          <w:rFonts w:ascii="Arial" w:hAnsi="Arial" w:cs="Arial"/>
          <w:sz w:val="20"/>
          <w:szCs w:val="20"/>
          <w:lang w:val="en-GB"/>
        </w:rPr>
        <w:t xml:space="preserve"> band first based on the following figure. </w:t>
      </w:r>
    </w:p>
    <w:p w14:paraId="7B16F1ED" w14:textId="77777777" w:rsidR="003305F3" w:rsidRDefault="003305F3" w:rsidP="00B32EDD">
      <w:pPr>
        <w:rPr>
          <w:rFonts w:ascii="Arial" w:hAnsi="Arial" w:cs="Arial"/>
          <w:sz w:val="20"/>
          <w:szCs w:val="20"/>
          <w:lang w:val="en-GB"/>
        </w:rPr>
      </w:pPr>
    </w:p>
    <w:p w14:paraId="5401B992" w14:textId="77777777" w:rsidR="003305F3" w:rsidRDefault="003305F3" w:rsidP="003305F3">
      <w:pPr>
        <w:rPr>
          <w:rFonts w:ascii="Arial" w:hAnsi="Arial" w:cs="Arial"/>
          <w:sz w:val="20"/>
          <w:szCs w:val="20"/>
        </w:rPr>
      </w:pPr>
      <w:r w:rsidRPr="007733D8">
        <w:rPr>
          <w:rFonts w:ascii="Arial" w:hAnsi="Arial" w:cs="Arial"/>
          <w:sz w:val="20"/>
          <w:szCs w:val="20"/>
        </w:rPr>
        <w:object w:dxaOrig="15265" w:dyaOrig="2820" w14:anchorId="5A0A3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88.5pt" o:ole="">
            <v:imagedata r:id="rId8" o:title=""/>
          </v:shape>
          <o:OLEObject Type="Embed" ProgID="Visio.Drawing.15" ShapeID="_x0000_i1025" DrawAspect="Content" ObjectID="_1664959395" r:id="rId9"/>
        </w:object>
      </w:r>
    </w:p>
    <w:p w14:paraId="6138F8B8" w14:textId="0F2573FC" w:rsidR="003305F3" w:rsidRDefault="003305F3" w:rsidP="003305F3">
      <w:pPr>
        <w:pStyle w:val="Caption"/>
        <w:jc w:val="center"/>
      </w:pPr>
      <w:r>
        <w:t xml:space="preserve">Figure </w:t>
      </w:r>
      <w:r w:rsidR="00D243D4">
        <w:fldChar w:fldCharType="begin"/>
      </w:r>
      <w:r w:rsidR="00D243D4">
        <w:instrText xml:space="preserve"> SEQ Figure \* ARABIC </w:instrText>
      </w:r>
      <w:r w:rsidR="00D243D4">
        <w:fldChar w:fldCharType="separate"/>
      </w:r>
      <w:r>
        <w:rPr>
          <w:noProof/>
        </w:rPr>
        <w:t>1</w:t>
      </w:r>
      <w:r w:rsidR="00D243D4">
        <w:rPr>
          <w:noProof/>
        </w:rPr>
        <w:fldChar w:fldCharType="end"/>
      </w:r>
      <w:r>
        <w:rPr>
          <w:noProof/>
        </w:rPr>
        <w:t>.</w:t>
      </w:r>
      <w:r>
        <w:t xml:space="preserve"> FR2 bands</w:t>
      </w:r>
    </w:p>
    <w:p w14:paraId="2ADF5135" w14:textId="0689AD87" w:rsidR="00A1016C" w:rsidRDefault="000B653C" w:rsidP="00A1016C">
      <w:r>
        <w:rPr>
          <w:rFonts w:ascii="Arial" w:hAnsi="Arial" w:cs="Arial"/>
          <w:sz w:val="20"/>
          <w:szCs w:val="20"/>
          <w:lang w:val="en-GB"/>
        </w:rPr>
        <w:t>The gap values are provided in Table 1.</w:t>
      </w:r>
    </w:p>
    <w:p w14:paraId="484055A0" w14:textId="7AAFD508" w:rsidR="00A1016C" w:rsidRDefault="00A1016C" w:rsidP="00A1016C">
      <w:pPr>
        <w:pStyle w:val="Caption"/>
        <w:jc w:val="center"/>
      </w:pPr>
      <w:r>
        <w:t xml:space="preserve">Table </w:t>
      </w:r>
      <w:r w:rsidR="00D243D4">
        <w:fldChar w:fldCharType="begin"/>
      </w:r>
      <w:r w:rsidR="00D243D4">
        <w:instrText xml:space="preserve"> SEQ Table \* ARABIC </w:instrText>
      </w:r>
      <w:r w:rsidR="00D243D4">
        <w:fldChar w:fldCharType="separate"/>
      </w:r>
      <w:r w:rsidR="007D5B20">
        <w:rPr>
          <w:noProof/>
        </w:rPr>
        <w:t>1</w:t>
      </w:r>
      <w:r w:rsidR="00D243D4">
        <w:rPr>
          <w:noProof/>
        </w:rPr>
        <w:fldChar w:fldCharType="end"/>
      </w:r>
      <w:r>
        <w:t>. Frequency gap between bands in CA configurations</w:t>
      </w:r>
    </w:p>
    <w:p w14:paraId="26A053CF" w14:textId="089BCF90" w:rsidR="00EA51A3" w:rsidRDefault="00EA51A3" w:rsidP="001E6097">
      <w:pPr>
        <w:rPr>
          <w:rFonts w:ascii="Arial" w:hAnsi="Arial" w:cs="Arial"/>
          <w:sz w:val="20"/>
          <w:szCs w:val="20"/>
          <w:lang w:val="en-GB"/>
        </w:rPr>
      </w:pPr>
    </w:p>
    <w:tbl>
      <w:tblPr>
        <w:tblStyle w:val="TableGrid"/>
        <w:tblW w:w="0" w:type="auto"/>
        <w:tblInd w:w="2515" w:type="dxa"/>
        <w:tblLook w:val="04A0" w:firstRow="1" w:lastRow="0" w:firstColumn="1" w:lastColumn="0" w:noHBand="0" w:noVBand="1"/>
      </w:tblPr>
      <w:tblGrid>
        <w:gridCol w:w="2295"/>
        <w:gridCol w:w="2655"/>
      </w:tblGrid>
      <w:tr w:rsidR="0051261D" w14:paraId="52B75472" w14:textId="77777777" w:rsidTr="00A1016C">
        <w:tc>
          <w:tcPr>
            <w:tcW w:w="2295" w:type="dxa"/>
          </w:tcPr>
          <w:p w14:paraId="2D3651DD" w14:textId="4139895B" w:rsidR="0051261D" w:rsidRPr="0051261D" w:rsidRDefault="0051261D" w:rsidP="00A1016C">
            <w:pPr>
              <w:spacing w:after="0"/>
              <w:jc w:val="center"/>
              <w:rPr>
                <w:rFonts w:ascii="Arial" w:hAnsi="Arial" w:cs="Arial"/>
                <w:b/>
                <w:bCs/>
                <w:sz w:val="20"/>
                <w:szCs w:val="20"/>
                <w:lang w:val="en-GB"/>
              </w:rPr>
            </w:pPr>
            <w:r w:rsidRPr="0051261D">
              <w:rPr>
                <w:rFonts w:ascii="Arial" w:hAnsi="Arial" w:cs="Arial"/>
                <w:b/>
                <w:bCs/>
                <w:sz w:val="20"/>
                <w:szCs w:val="20"/>
                <w:lang w:val="en-GB"/>
              </w:rPr>
              <w:t>Band combination</w:t>
            </w:r>
          </w:p>
        </w:tc>
        <w:tc>
          <w:tcPr>
            <w:tcW w:w="2655" w:type="dxa"/>
          </w:tcPr>
          <w:p w14:paraId="17EF4F06" w14:textId="4A070D1B" w:rsidR="0051261D" w:rsidRPr="0051261D" w:rsidRDefault="0051261D" w:rsidP="00A1016C">
            <w:pPr>
              <w:spacing w:after="0"/>
              <w:jc w:val="center"/>
              <w:rPr>
                <w:rFonts w:ascii="Arial" w:hAnsi="Arial" w:cs="Arial"/>
                <w:b/>
                <w:bCs/>
                <w:sz w:val="20"/>
                <w:szCs w:val="20"/>
                <w:lang w:val="en-GB"/>
              </w:rPr>
            </w:pPr>
            <w:r w:rsidRPr="0051261D">
              <w:rPr>
                <w:rFonts w:ascii="Arial" w:hAnsi="Arial" w:cs="Arial"/>
                <w:b/>
                <w:bCs/>
                <w:sz w:val="20"/>
                <w:szCs w:val="20"/>
                <w:lang w:val="en-GB"/>
              </w:rPr>
              <w:t>Frequency gap between band</w:t>
            </w:r>
            <w:r>
              <w:rPr>
                <w:rFonts w:ascii="Arial" w:hAnsi="Arial" w:cs="Arial"/>
                <w:b/>
                <w:bCs/>
                <w:sz w:val="20"/>
                <w:szCs w:val="20"/>
                <w:lang w:val="en-GB"/>
              </w:rPr>
              <w:t xml:space="preserve"> edges (GHz)</w:t>
            </w:r>
          </w:p>
        </w:tc>
      </w:tr>
      <w:tr w:rsidR="0051261D" w14:paraId="0D1D8FF9" w14:textId="77777777" w:rsidTr="00A1016C">
        <w:tc>
          <w:tcPr>
            <w:tcW w:w="2295" w:type="dxa"/>
          </w:tcPr>
          <w:p w14:paraId="5E2F8D40" w14:textId="37650987" w:rsidR="0051261D" w:rsidRDefault="0051261D" w:rsidP="00A1016C">
            <w:pPr>
              <w:spacing w:after="0"/>
              <w:jc w:val="center"/>
              <w:rPr>
                <w:rFonts w:ascii="Arial" w:hAnsi="Arial" w:cs="Arial"/>
                <w:sz w:val="20"/>
                <w:szCs w:val="20"/>
                <w:lang w:val="en-GB"/>
              </w:rPr>
            </w:pPr>
            <w:r>
              <w:rPr>
                <w:rFonts w:ascii="Arial" w:hAnsi="Arial" w:cs="Arial"/>
                <w:sz w:val="20"/>
                <w:szCs w:val="20"/>
              </w:rPr>
              <w:t>CA_n260A-n261A</w:t>
            </w:r>
          </w:p>
        </w:tc>
        <w:tc>
          <w:tcPr>
            <w:tcW w:w="2655" w:type="dxa"/>
          </w:tcPr>
          <w:p w14:paraId="614AC968" w14:textId="0F11EF18" w:rsidR="0051261D" w:rsidRDefault="0051261D" w:rsidP="00A1016C">
            <w:pPr>
              <w:spacing w:after="0"/>
              <w:jc w:val="center"/>
              <w:rPr>
                <w:rFonts w:ascii="Arial" w:hAnsi="Arial" w:cs="Arial"/>
                <w:sz w:val="20"/>
                <w:szCs w:val="20"/>
                <w:lang w:val="en-GB"/>
              </w:rPr>
            </w:pPr>
            <w:r>
              <w:rPr>
                <w:rFonts w:ascii="Arial" w:hAnsi="Arial" w:cs="Arial"/>
                <w:sz w:val="20"/>
                <w:szCs w:val="20"/>
                <w:lang w:val="en-GB"/>
              </w:rPr>
              <w:t>8.65</w:t>
            </w:r>
          </w:p>
        </w:tc>
      </w:tr>
      <w:tr w:rsidR="0051261D" w14:paraId="61B814B7" w14:textId="77777777" w:rsidTr="00A1016C">
        <w:tc>
          <w:tcPr>
            <w:tcW w:w="2295" w:type="dxa"/>
          </w:tcPr>
          <w:p w14:paraId="4228FA3B" w14:textId="5D13781F" w:rsidR="0051261D" w:rsidRDefault="0051261D" w:rsidP="00A1016C">
            <w:pPr>
              <w:spacing w:after="0"/>
              <w:jc w:val="center"/>
              <w:rPr>
                <w:rFonts w:ascii="Arial" w:hAnsi="Arial" w:cs="Arial"/>
                <w:sz w:val="20"/>
                <w:szCs w:val="20"/>
                <w:lang w:val="en-GB"/>
              </w:rPr>
            </w:pPr>
            <w:r w:rsidRPr="00774A13">
              <w:rPr>
                <w:rFonts w:ascii="Arial" w:hAnsi="Arial" w:cs="Arial"/>
                <w:sz w:val="20"/>
                <w:szCs w:val="20"/>
              </w:rPr>
              <w:t>CA_n258A-n260A</w:t>
            </w:r>
          </w:p>
        </w:tc>
        <w:tc>
          <w:tcPr>
            <w:tcW w:w="2655" w:type="dxa"/>
          </w:tcPr>
          <w:p w14:paraId="39147ACE" w14:textId="70513CF5" w:rsidR="0051261D" w:rsidRDefault="0051261D" w:rsidP="00A1016C">
            <w:pPr>
              <w:spacing w:after="0"/>
              <w:jc w:val="center"/>
              <w:rPr>
                <w:rFonts w:ascii="Arial" w:hAnsi="Arial" w:cs="Arial"/>
                <w:sz w:val="20"/>
                <w:szCs w:val="20"/>
                <w:lang w:val="en-GB"/>
              </w:rPr>
            </w:pPr>
            <w:r>
              <w:rPr>
                <w:rFonts w:ascii="Arial" w:hAnsi="Arial" w:cs="Arial"/>
                <w:sz w:val="20"/>
                <w:szCs w:val="20"/>
                <w:lang w:val="en-GB"/>
              </w:rPr>
              <w:t>9.5</w:t>
            </w:r>
          </w:p>
        </w:tc>
      </w:tr>
      <w:tr w:rsidR="0051261D" w14:paraId="29A5943A" w14:textId="77777777" w:rsidTr="00A1016C">
        <w:tc>
          <w:tcPr>
            <w:tcW w:w="2295" w:type="dxa"/>
          </w:tcPr>
          <w:p w14:paraId="6DFF8F30" w14:textId="56A2773A" w:rsidR="0051261D" w:rsidRDefault="0051261D" w:rsidP="00A1016C">
            <w:pPr>
              <w:spacing w:after="0"/>
              <w:jc w:val="center"/>
              <w:rPr>
                <w:rFonts w:ascii="Arial" w:hAnsi="Arial" w:cs="Arial"/>
                <w:sz w:val="20"/>
                <w:szCs w:val="20"/>
                <w:lang w:val="en-GB"/>
              </w:rPr>
            </w:pPr>
            <w:r w:rsidRPr="00774A13">
              <w:rPr>
                <w:rFonts w:ascii="Arial" w:hAnsi="Arial" w:cs="Arial"/>
                <w:sz w:val="20"/>
                <w:szCs w:val="20"/>
              </w:rPr>
              <w:t>CA_n257A-n259A</w:t>
            </w:r>
          </w:p>
        </w:tc>
        <w:tc>
          <w:tcPr>
            <w:tcW w:w="2655" w:type="dxa"/>
          </w:tcPr>
          <w:p w14:paraId="0025150F" w14:textId="19EE9184" w:rsidR="0051261D" w:rsidRDefault="0051261D" w:rsidP="00A1016C">
            <w:pPr>
              <w:spacing w:after="0"/>
              <w:jc w:val="center"/>
              <w:rPr>
                <w:rFonts w:ascii="Arial" w:hAnsi="Arial" w:cs="Arial"/>
                <w:sz w:val="20"/>
                <w:szCs w:val="20"/>
                <w:lang w:val="en-GB"/>
              </w:rPr>
            </w:pPr>
            <w:r>
              <w:rPr>
                <w:rFonts w:ascii="Arial" w:hAnsi="Arial" w:cs="Arial"/>
                <w:sz w:val="20"/>
                <w:szCs w:val="20"/>
                <w:lang w:val="en-GB"/>
              </w:rPr>
              <w:t>10</w:t>
            </w:r>
          </w:p>
        </w:tc>
      </w:tr>
    </w:tbl>
    <w:p w14:paraId="5C7684D4" w14:textId="49D297BA" w:rsidR="0051261D" w:rsidRDefault="0051261D" w:rsidP="001E6097">
      <w:pPr>
        <w:rPr>
          <w:rFonts w:ascii="Arial" w:hAnsi="Arial" w:cs="Arial"/>
          <w:sz w:val="20"/>
          <w:szCs w:val="20"/>
          <w:lang w:val="en-GB"/>
        </w:rPr>
      </w:pPr>
    </w:p>
    <w:p w14:paraId="716CDDC4" w14:textId="090AA7F0" w:rsidR="00A1016C" w:rsidRDefault="000B653C" w:rsidP="00A1016C">
      <w:pPr>
        <w:rPr>
          <w:rFonts w:ascii="Arial" w:hAnsi="Arial" w:cs="Arial"/>
          <w:sz w:val="20"/>
          <w:szCs w:val="20"/>
        </w:rPr>
      </w:pPr>
      <w:r w:rsidRPr="000B653C">
        <w:rPr>
          <w:rFonts w:ascii="Arial" w:hAnsi="Arial" w:cs="Arial"/>
          <w:sz w:val="20"/>
          <w:szCs w:val="20"/>
        </w:rPr>
        <w:t xml:space="preserve">In submitted paper [2], we discuss frequency gap between upper channel edge of highest CC in lower band and lower channel edge of lowest CC in upper band will affect RF performance. This is due to filter rejection </w:t>
      </w:r>
      <w:r w:rsidR="00FE3470">
        <w:rPr>
          <w:rFonts w:ascii="Arial" w:hAnsi="Arial" w:cs="Arial"/>
          <w:sz w:val="20"/>
          <w:szCs w:val="20"/>
        </w:rPr>
        <w:t>performance</w:t>
      </w:r>
      <w:r w:rsidRPr="000B653C">
        <w:rPr>
          <w:rFonts w:ascii="Arial" w:hAnsi="Arial" w:cs="Arial"/>
          <w:sz w:val="20"/>
          <w:szCs w:val="20"/>
        </w:rPr>
        <w:t xml:space="preserve"> is sensitive to gap size. From the table we can see for both CA_n258A-n260A and CA_n257A-n259A the frequency gaps </w:t>
      </w:r>
      <w:r w:rsidR="00FE3470">
        <w:rPr>
          <w:rFonts w:ascii="Arial" w:hAnsi="Arial" w:cs="Arial"/>
          <w:sz w:val="20"/>
          <w:szCs w:val="20"/>
        </w:rPr>
        <w:t>between CCs from two bands are at least greater than or equal to 8.65GHz and 9.5GHz respectively and these minimum gaps are larger than the minimum gap for CA_n260A-n261A.</w:t>
      </w:r>
    </w:p>
    <w:p w14:paraId="790AAA43" w14:textId="2932D802" w:rsidR="00FE3470" w:rsidRDefault="00FE3470" w:rsidP="00A1016C">
      <w:pPr>
        <w:rPr>
          <w:rFonts w:ascii="Arial" w:hAnsi="Arial" w:cs="Arial"/>
          <w:sz w:val="20"/>
          <w:szCs w:val="20"/>
        </w:rPr>
      </w:pPr>
    </w:p>
    <w:p w14:paraId="1E958E62" w14:textId="52FAC7BC" w:rsidR="00FE3470" w:rsidRDefault="00244655" w:rsidP="00A1016C">
      <w:pPr>
        <w:rPr>
          <w:rFonts w:ascii="Arial" w:hAnsi="Arial" w:cs="Arial"/>
          <w:sz w:val="20"/>
          <w:szCs w:val="20"/>
        </w:rPr>
      </w:pPr>
      <w:r>
        <w:rPr>
          <w:rFonts w:ascii="Arial" w:hAnsi="Arial" w:cs="Arial"/>
          <w:sz w:val="20"/>
          <w:szCs w:val="20"/>
        </w:rPr>
        <w:lastRenderedPageBreak/>
        <w:t xml:space="preserve">In Rel-16, the RF requirements for CA_n260A-n261A </w:t>
      </w:r>
      <w:r w:rsidR="00205C00">
        <w:rPr>
          <w:rFonts w:ascii="Arial" w:hAnsi="Arial" w:cs="Arial"/>
          <w:sz w:val="20"/>
          <w:szCs w:val="20"/>
        </w:rPr>
        <w:t xml:space="preserve">have been defined 38.101-2 V16.5.0. </w:t>
      </w:r>
      <w:r w:rsidR="000233F8">
        <w:rPr>
          <w:rFonts w:ascii="Arial" w:hAnsi="Arial" w:cs="Arial"/>
          <w:sz w:val="20"/>
          <w:szCs w:val="20"/>
        </w:rPr>
        <w:t>The RF requirements</w:t>
      </w:r>
      <w:r w:rsidR="006E21A6">
        <w:rPr>
          <w:rFonts w:ascii="Arial" w:hAnsi="Arial" w:cs="Arial"/>
          <w:sz w:val="20"/>
          <w:szCs w:val="20"/>
        </w:rPr>
        <w:t xml:space="preserve"> are summarized in the following table</w:t>
      </w:r>
      <w:r w:rsidR="000233F8">
        <w:rPr>
          <w:rFonts w:ascii="Arial" w:hAnsi="Arial" w:cs="Arial"/>
          <w:sz w:val="20"/>
          <w:szCs w:val="20"/>
        </w:rPr>
        <w:t xml:space="preserve">. </w:t>
      </w:r>
    </w:p>
    <w:p w14:paraId="361888D5" w14:textId="66463263" w:rsidR="007D5B20" w:rsidRDefault="007D5B20" w:rsidP="00A1016C">
      <w:pPr>
        <w:rPr>
          <w:rFonts w:ascii="Arial" w:hAnsi="Arial" w:cs="Arial"/>
          <w:sz w:val="20"/>
          <w:szCs w:val="20"/>
        </w:rPr>
      </w:pPr>
    </w:p>
    <w:p w14:paraId="55FA2A57" w14:textId="5BED1A16" w:rsidR="000233F8" w:rsidRDefault="007D5B20" w:rsidP="000A40BA">
      <w:pPr>
        <w:pStyle w:val="Caption"/>
        <w:ind w:left="284"/>
        <w:jc w:val="center"/>
        <w:rPr>
          <w:rFonts w:ascii="Arial" w:hAnsi="Arial" w:cs="Arial"/>
          <w:sz w:val="20"/>
          <w:szCs w:val="20"/>
        </w:rPr>
      </w:pPr>
      <w:r>
        <w:t xml:space="preserve">Table </w:t>
      </w:r>
      <w:r w:rsidR="00D243D4">
        <w:fldChar w:fldCharType="begin"/>
      </w:r>
      <w:r w:rsidR="00D243D4">
        <w:instrText xml:space="preserve"> SEQ Table \* ARABIC </w:instrText>
      </w:r>
      <w:r w:rsidR="00D243D4">
        <w:fldChar w:fldCharType="separate"/>
      </w:r>
      <w:r>
        <w:rPr>
          <w:noProof/>
        </w:rPr>
        <w:t>2</w:t>
      </w:r>
      <w:r w:rsidR="00D243D4">
        <w:rPr>
          <w:noProof/>
        </w:rPr>
        <w:fldChar w:fldCharType="end"/>
      </w:r>
      <w:r>
        <w:t xml:space="preserve"> RF requirements for DL CA_n260A-n261A</w:t>
      </w:r>
    </w:p>
    <w:tbl>
      <w:tblPr>
        <w:tblStyle w:val="TableGrid"/>
        <w:tblW w:w="0" w:type="auto"/>
        <w:jc w:val="center"/>
        <w:tblLook w:val="04A0" w:firstRow="1" w:lastRow="0" w:firstColumn="1" w:lastColumn="0" w:noHBand="0" w:noVBand="1"/>
      </w:tblPr>
      <w:tblGrid>
        <w:gridCol w:w="3780"/>
        <w:gridCol w:w="5490"/>
      </w:tblGrid>
      <w:tr w:rsidR="000233F8" w:rsidRPr="0051261D" w14:paraId="394C5386" w14:textId="77777777" w:rsidTr="006E21A6">
        <w:trPr>
          <w:jc w:val="center"/>
        </w:trPr>
        <w:tc>
          <w:tcPr>
            <w:tcW w:w="3780" w:type="dxa"/>
          </w:tcPr>
          <w:p w14:paraId="5068B833" w14:textId="459D42AF" w:rsidR="000233F8" w:rsidRPr="0051261D" w:rsidRDefault="000233F8" w:rsidP="000A40BA">
            <w:pPr>
              <w:spacing w:after="0"/>
              <w:jc w:val="center"/>
              <w:rPr>
                <w:rFonts w:ascii="Arial" w:hAnsi="Arial" w:cs="Arial"/>
                <w:b/>
                <w:bCs/>
                <w:sz w:val="20"/>
                <w:szCs w:val="20"/>
                <w:lang w:val="en-GB"/>
              </w:rPr>
            </w:pPr>
            <w:r>
              <w:rPr>
                <w:rFonts w:ascii="Arial" w:hAnsi="Arial" w:cs="Arial"/>
                <w:b/>
                <w:bCs/>
                <w:sz w:val="20"/>
                <w:szCs w:val="20"/>
                <w:lang w:val="en-GB"/>
              </w:rPr>
              <w:t>Inter-band DL CA RF Characteristics</w:t>
            </w:r>
          </w:p>
        </w:tc>
        <w:tc>
          <w:tcPr>
            <w:tcW w:w="5490" w:type="dxa"/>
          </w:tcPr>
          <w:p w14:paraId="5C6F6A42" w14:textId="56D85BFE" w:rsidR="000233F8" w:rsidRPr="0051261D" w:rsidRDefault="000233F8" w:rsidP="000A40BA">
            <w:pPr>
              <w:spacing w:after="0"/>
              <w:jc w:val="center"/>
              <w:rPr>
                <w:rFonts w:ascii="Arial" w:hAnsi="Arial" w:cs="Arial"/>
                <w:b/>
                <w:bCs/>
                <w:sz w:val="20"/>
                <w:szCs w:val="20"/>
                <w:lang w:val="en-GB"/>
              </w:rPr>
            </w:pPr>
            <w:r>
              <w:rPr>
                <w:rFonts w:ascii="Arial" w:hAnsi="Arial" w:cs="Arial"/>
                <w:b/>
                <w:bCs/>
                <w:sz w:val="20"/>
                <w:szCs w:val="20"/>
                <w:lang w:val="en-GB"/>
              </w:rPr>
              <w:t>RF requirements</w:t>
            </w:r>
          </w:p>
        </w:tc>
      </w:tr>
      <w:tr w:rsidR="000233F8" w14:paraId="4F2F2802" w14:textId="77777777" w:rsidTr="006E21A6">
        <w:trPr>
          <w:jc w:val="center"/>
        </w:trPr>
        <w:tc>
          <w:tcPr>
            <w:tcW w:w="3780" w:type="dxa"/>
          </w:tcPr>
          <w:p w14:paraId="402D0496" w14:textId="63874B48" w:rsidR="000233F8" w:rsidRDefault="000233F8" w:rsidP="006E21A6">
            <w:pPr>
              <w:spacing w:after="0"/>
              <w:rPr>
                <w:rFonts w:ascii="Arial" w:hAnsi="Arial" w:cs="Arial"/>
                <w:sz w:val="20"/>
                <w:szCs w:val="20"/>
                <w:lang w:val="en-GB"/>
              </w:rPr>
            </w:pPr>
            <w:r>
              <w:rPr>
                <w:rFonts w:ascii="Arial" w:hAnsi="Arial" w:cs="Arial"/>
                <w:sz w:val="20"/>
                <w:szCs w:val="20"/>
                <w:lang w:val="en-GB"/>
              </w:rPr>
              <w:t>REFSENS (7.3A.2.3)</w:t>
            </w:r>
          </w:p>
        </w:tc>
        <w:tc>
          <w:tcPr>
            <w:tcW w:w="5490" w:type="dxa"/>
          </w:tcPr>
          <w:p w14:paraId="1A15BE38" w14:textId="5F705CF4" w:rsidR="000233F8" w:rsidRPr="0075425A" w:rsidRDefault="0075425A" w:rsidP="0075425A">
            <w:pPr>
              <w:spacing w:after="0"/>
              <w:rPr>
                <w:rFonts w:ascii="Arial" w:hAnsi="Arial" w:cs="Arial"/>
                <w:bCs/>
                <w:sz w:val="20"/>
                <w:szCs w:val="20"/>
                <w:lang w:val="en-GB"/>
              </w:rPr>
            </w:pPr>
            <w:r>
              <w:rPr>
                <w:rFonts w:ascii="Arial" w:hAnsi="Arial" w:cs="Arial"/>
                <w:sz w:val="20"/>
                <w:szCs w:val="20"/>
                <w:lang w:val="en-GB"/>
              </w:rPr>
              <w:t xml:space="preserve">Each component carrier meets general requirements (single CC) with </w:t>
            </w:r>
            <w:r w:rsidRPr="00446013">
              <w:rPr>
                <w:rFonts w:ascii="Arial" w:eastAsia="Malgun Gothic" w:hAnsi="Arial"/>
                <w:b/>
                <w:sz w:val="18"/>
              </w:rPr>
              <w:t>ΔR</w:t>
            </w:r>
            <w:r w:rsidRPr="00446013">
              <w:rPr>
                <w:rFonts w:ascii="Arial" w:eastAsia="Malgun Gothic" w:hAnsi="Arial"/>
                <w:b/>
                <w:sz w:val="18"/>
                <w:vertAlign w:val="subscript"/>
              </w:rPr>
              <w:t>IB</w:t>
            </w:r>
            <w:r>
              <w:rPr>
                <w:rFonts w:ascii="Arial" w:eastAsia="Malgun Gothic" w:hAnsi="Arial"/>
                <w:b/>
                <w:sz w:val="18"/>
                <w:vertAlign w:val="subscript"/>
              </w:rPr>
              <w:t>,P,n</w:t>
            </w:r>
            <w:r w:rsidRPr="0075425A">
              <w:rPr>
                <w:rFonts w:ascii="Arial" w:eastAsia="Malgun Gothic" w:hAnsi="Arial" w:cs="Arial"/>
                <w:bCs/>
                <w:sz w:val="20"/>
                <w:szCs w:val="20"/>
              </w:rPr>
              <w:t xml:space="preserve"> = [3.5]dB </w:t>
            </w:r>
            <w:r w:rsidRPr="0075425A">
              <w:rPr>
                <w:rFonts w:ascii="Arial" w:hAnsi="Arial" w:cs="Arial"/>
                <w:sz w:val="20"/>
                <w:szCs w:val="20"/>
              </w:rPr>
              <w:t>when the power in the component carrier in the other band is set to its EIS spherical coverage requirement for inter-band CA specified in sub-clause 7.3A.3.3</w:t>
            </w:r>
          </w:p>
        </w:tc>
      </w:tr>
      <w:tr w:rsidR="000233F8" w14:paraId="5E057C47" w14:textId="77777777" w:rsidTr="006E21A6">
        <w:trPr>
          <w:jc w:val="center"/>
        </w:trPr>
        <w:tc>
          <w:tcPr>
            <w:tcW w:w="3780" w:type="dxa"/>
          </w:tcPr>
          <w:p w14:paraId="5F1EC15F" w14:textId="360BFF54" w:rsidR="000233F8" w:rsidRDefault="000233F8" w:rsidP="006E21A6">
            <w:pPr>
              <w:spacing w:after="0"/>
              <w:rPr>
                <w:rFonts w:ascii="Arial" w:hAnsi="Arial" w:cs="Arial"/>
                <w:sz w:val="20"/>
                <w:szCs w:val="20"/>
                <w:lang w:val="en-GB"/>
              </w:rPr>
            </w:pPr>
            <w:r>
              <w:rPr>
                <w:rFonts w:ascii="Arial" w:hAnsi="Arial" w:cs="Arial"/>
                <w:sz w:val="20"/>
                <w:szCs w:val="20"/>
                <w:lang w:val="en-GB"/>
              </w:rPr>
              <w:t>EIS spherical coverage (7.3A.3.3)</w:t>
            </w:r>
          </w:p>
        </w:tc>
        <w:tc>
          <w:tcPr>
            <w:tcW w:w="5490" w:type="dxa"/>
          </w:tcPr>
          <w:p w14:paraId="39ED41E3" w14:textId="59DFCD69" w:rsidR="000233F8" w:rsidRDefault="006E21A6" w:rsidP="006E21A6">
            <w:pPr>
              <w:spacing w:after="0"/>
              <w:rPr>
                <w:rFonts w:ascii="Arial" w:hAnsi="Arial" w:cs="Arial"/>
                <w:sz w:val="20"/>
                <w:szCs w:val="20"/>
                <w:lang w:val="en-GB"/>
              </w:rPr>
            </w:pPr>
            <w:r>
              <w:rPr>
                <w:rFonts w:ascii="Arial" w:hAnsi="Arial" w:cs="Arial"/>
                <w:sz w:val="20"/>
                <w:szCs w:val="20"/>
                <w:lang w:val="en-GB"/>
              </w:rPr>
              <w:t xml:space="preserve">Each component carrier meets general requirements (single CC) with </w:t>
            </w:r>
            <w:r w:rsidRPr="00446013">
              <w:rPr>
                <w:rFonts w:ascii="Arial" w:eastAsia="Malgun Gothic" w:hAnsi="Arial"/>
                <w:b/>
                <w:sz w:val="18"/>
              </w:rPr>
              <w:t>ΔR</w:t>
            </w:r>
            <w:r w:rsidRPr="00446013">
              <w:rPr>
                <w:rFonts w:ascii="Arial" w:eastAsia="Malgun Gothic" w:hAnsi="Arial"/>
                <w:b/>
                <w:sz w:val="18"/>
                <w:vertAlign w:val="subscript"/>
              </w:rPr>
              <w:t>IB</w:t>
            </w:r>
            <w:r>
              <w:rPr>
                <w:rFonts w:ascii="Arial" w:eastAsia="Malgun Gothic" w:hAnsi="Arial"/>
                <w:b/>
                <w:sz w:val="18"/>
                <w:vertAlign w:val="subscript"/>
              </w:rPr>
              <w:t>,S,n</w:t>
            </w:r>
            <w:r w:rsidRPr="0075425A">
              <w:rPr>
                <w:rFonts w:ascii="Arial" w:eastAsia="Malgun Gothic" w:hAnsi="Arial" w:cs="Arial"/>
                <w:bCs/>
                <w:sz w:val="20"/>
                <w:szCs w:val="20"/>
              </w:rPr>
              <w:t xml:space="preserve"> = [3.5]dB </w:t>
            </w:r>
            <w:r w:rsidRPr="0075425A">
              <w:rPr>
                <w:rFonts w:ascii="Arial" w:hAnsi="Arial" w:cs="Arial"/>
                <w:sz w:val="20"/>
                <w:szCs w:val="20"/>
              </w:rPr>
              <w:t xml:space="preserve">when the power in the component carrier in the other band is set to its EIS spherical coverage requirement for inter-band CA specified in </w:t>
            </w:r>
            <w:r>
              <w:rPr>
                <w:rFonts w:ascii="Arial" w:hAnsi="Arial" w:cs="Arial"/>
                <w:sz w:val="20"/>
                <w:szCs w:val="20"/>
              </w:rPr>
              <w:t xml:space="preserve">this </w:t>
            </w:r>
            <w:r w:rsidRPr="0075425A">
              <w:rPr>
                <w:rFonts w:ascii="Arial" w:hAnsi="Arial" w:cs="Arial"/>
                <w:sz w:val="20"/>
                <w:szCs w:val="20"/>
              </w:rPr>
              <w:t xml:space="preserve">sub-clause </w:t>
            </w:r>
            <w:r>
              <w:rPr>
                <w:rFonts w:ascii="Arial" w:hAnsi="Arial" w:cs="Arial"/>
                <w:sz w:val="20"/>
                <w:szCs w:val="20"/>
              </w:rPr>
              <w:t>(</w:t>
            </w:r>
            <w:r w:rsidRPr="0075425A">
              <w:rPr>
                <w:rFonts w:ascii="Arial" w:hAnsi="Arial" w:cs="Arial"/>
                <w:sz w:val="20"/>
                <w:szCs w:val="20"/>
              </w:rPr>
              <w:t>7.3A.3.3</w:t>
            </w:r>
            <w:r>
              <w:rPr>
                <w:rFonts w:ascii="Arial" w:hAnsi="Arial" w:cs="Arial"/>
                <w:sz w:val="20"/>
                <w:szCs w:val="20"/>
              </w:rPr>
              <w:t>)</w:t>
            </w:r>
          </w:p>
        </w:tc>
      </w:tr>
      <w:tr w:rsidR="000233F8" w14:paraId="68C7A6C2" w14:textId="77777777" w:rsidTr="006E21A6">
        <w:trPr>
          <w:jc w:val="center"/>
        </w:trPr>
        <w:tc>
          <w:tcPr>
            <w:tcW w:w="3780" w:type="dxa"/>
          </w:tcPr>
          <w:p w14:paraId="137D8F54" w14:textId="27AC8F27" w:rsidR="000233F8" w:rsidRDefault="000233F8" w:rsidP="006E21A6">
            <w:pPr>
              <w:spacing w:after="0"/>
              <w:rPr>
                <w:rFonts w:ascii="Arial" w:hAnsi="Arial" w:cs="Arial"/>
                <w:sz w:val="20"/>
                <w:szCs w:val="20"/>
                <w:lang w:val="en-GB"/>
              </w:rPr>
            </w:pPr>
            <w:r>
              <w:rPr>
                <w:rFonts w:ascii="Arial" w:hAnsi="Arial" w:cs="Arial"/>
                <w:sz w:val="20"/>
                <w:szCs w:val="20"/>
                <w:lang w:val="en-GB"/>
              </w:rPr>
              <w:t>Maximum input power level (7.4A.3)</w:t>
            </w:r>
          </w:p>
        </w:tc>
        <w:tc>
          <w:tcPr>
            <w:tcW w:w="5490" w:type="dxa"/>
          </w:tcPr>
          <w:p w14:paraId="52F053B2" w14:textId="2F98FE0C" w:rsidR="000233F8" w:rsidRPr="006E21A6" w:rsidRDefault="006E21A6" w:rsidP="006E21A6">
            <w:pPr>
              <w:spacing w:after="0"/>
              <w:rPr>
                <w:rFonts w:ascii="Arial" w:hAnsi="Arial" w:cs="Arial"/>
                <w:sz w:val="20"/>
                <w:szCs w:val="20"/>
                <w:lang w:val="en-GB"/>
              </w:rPr>
            </w:pPr>
            <w:r w:rsidRPr="006E21A6">
              <w:rPr>
                <w:rFonts w:ascii="Arial" w:hAnsi="Arial" w:cs="Arial"/>
                <w:sz w:val="20"/>
                <w:szCs w:val="20"/>
              </w:rPr>
              <w:t>The UE shall meet the requirements specified in clause 7.4</w:t>
            </w:r>
            <w:r>
              <w:rPr>
                <w:rFonts w:ascii="Arial" w:hAnsi="Arial" w:cs="Arial"/>
                <w:sz w:val="20"/>
                <w:szCs w:val="20"/>
              </w:rPr>
              <w:t xml:space="preserve"> (general requirements for single CC)</w:t>
            </w:r>
            <w:r w:rsidRPr="006E21A6">
              <w:rPr>
                <w:rFonts w:ascii="Arial" w:hAnsi="Arial" w:cs="Arial"/>
                <w:sz w:val="20"/>
                <w:szCs w:val="20"/>
              </w:rPr>
              <w:t xml:space="preserve"> for each component carrier while all downlink carriers are active with the uplink active on the band other than the band whose downlink is being tested</w:t>
            </w:r>
          </w:p>
        </w:tc>
      </w:tr>
      <w:tr w:rsidR="000233F8" w14:paraId="05F06D2C" w14:textId="77777777" w:rsidTr="006E21A6">
        <w:trPr>
          <w:trHeight w:val="1099"/>
          <w:jc w:val="center"/>
        </w:trPr>
        <w:tc>
          <w:tcPr>
            <w:tcW w:w="3780" w:type="dxa"/>
          </w:tcPr>
          <w:p w14:paraId="1665A820" w14:textId="72D2D2ED" w:rsidR="000233F8" w:rsidRDefault="000233F8" w:rsidP="006E21A6">
            <w:pPr>
              <w:spacing w:after="0"/>
              <w:rPr>
                <w:rFonts w:ascii="Arial" w:hAnsi="Arial" w:cs="Arial"/>
                <w:sz w:val="20"/>
                <w:szCs w:val="20"/>
                <w:lang w:val="en-GB"/>
              </w:rPr>
            </w:pPr>
            <w:r>
              <w:rPr>
                <w:rFonts w:ascii="Arial" w:hAnsi="Arial" w:cs="Arial"/>
                <w:sz w:val="20"/>
                <w:szCs w:val="20"/>
                <w:lang w:val="en-GB"/>
              </w:rPr>
              <w:t>ACLR (7.5A.3)</w:t>
            </w:r>
          </w:p>
        </w:tc>
        <w:tc>
          <w:tcPr>
            <w:tcW w:w="5490" w:type="dxa"/>
          </w:tcPr>
          <w:p w14:paraId="54EF933D" w14:textId="2D5D8BF6" w:rsidR="000233F8" w:rsidRDefault="006E21A6" w:rsidP="006E21A6">
            <w:pPr>
              <w:spacing w:after="0"/>
              <w:rPr>
                <w:rFonts w:ascii="Arial" w:hAnsi="Arial" w:cs="Arial"/>
                <w:sz w:val="20"/>
                <w:szCs w:val="20"/>
                <w:lang w:val="en-GB"/>
              </w:rPr>
            </w:pPr>
            <w:r w:rsidRPr="006E21A6">
              <w:rPr>
                <w:rFonts w:ascii="Arial" w:hAnsi="Arial" w:cs="Arial"/>
                <w:sz w:val="20"/>
                <w:szCs w:val="20"/>
              </w:rPr>
              <w:t>The UE shall meet the requirements specified in clause 7.</w:t>
            </w:r>
            <w:r>
              <w:rPr>
                <w:rFonts w:ascii="Arial" w:hAnsi="Arial" w:cs="Arial"/>
                <w:sz w:val="20"/>
                <w:szCs w:val="20"/>
              </w:rPr>
              <w:t>5 (general requirements for single CC)</w:t>
            </w:r>
            <w:r w:rsidRPr="006E21A6">
              <w:rPr>
                <w:rFonts w:ascii="Arial" w:hAnsi="Arial" w:cs="Arial"/>
                <w:sz w:val="20"/>
                <w:szCs w:val="20"/>
              </w:rPr>
              <w:t xml:space="preserve"> for each component carrier while all downlink carriers are active with the uplink active on the band other than the band whose downlink is being tested</w:t>
            </w:r>
          </w:p>
        </w:tc>
      </w:tr>
      <w:tr w:rsidR="000233F8" w14:paraId="3D2CC697" w14:textId="77777777" w:rsidTr="006E21A6">
        <w:trPr>
          <w:jc w:val="center"/>
        </w:trPr>
        <w:tc>
          <w:tcPr>
            <w:tcW w:w="3780" w:type="dxa"/>
          </w:tcPr>
          <w:p w14:paraId="69455AD9" w14:textId="6D6BADA1" w:rsidR="000233F8" w:rsidRDefault="000233F8" w:rsidP="006E21A6">
            <w:pPr>
              <w:spacing w:after="0"/>
              <w:rPr>
                <w:rFonts w:ascii="Arial" w:hAnsi="Arial" w:cs="Arial"/>
                <w:sz w:val="20"/>
                <w:szCs w:val="20"/>
                <w:lang w:val="en-GB"/>
              </w:rPr>
            </w:pPr>
            <w:r>
              <w:rPr>
                <w:rFonts w:ascii="Arial" w:hAnsi="Arial" w:cs="Arial"/>
                <w:sz w:val="20"/>
                <w:szCs w:val="20"/>
                <w:lang w:val="en-GB"/>
              </w:rPr>
              <w:t>In-band blocking (7.6A</w:t>
            </w:r>
            <w:r w:rsidR="000A40BA">
              <w:rPr>
                <w:rFonts w:ascii="Arial" w:hAnsi="Arial" w:cs="Arial"/>
                <w:sz w:val="20"/>
                <w:szCs w:val="20"/>
                <w:lang w:val="en-GB"/>
              </w:rPr>
              <w:t>.</w:t>
            </w:r>
            <w:r>
              <w:rPr>
                <w:rFonts w:ascii="Arial" w:hAnsi="Arial" w:cs="Arial"/>
                <w:sz w:val="20"/>
                <w:szCs w:val="20"/>
                <w:lang w:val="en-GB"/>
              </w:rPr>
              <w:t>2.3)</w:t>
            </w:r>
          </w:p>
        </w:tc>
        <w:tc>
          <w:tcPr>
            <w:tcW w:w="5490" w:type="dxa"/>
          </w:tcPr>
          <w:p w14:paraId="24BB36A9" w14:textId="748EDD8D" w:rsidR="000233F8" w:rsidRDefault="006E21A6" w:rsidP="006E21A6">
            <w:pPr>
              <w:spacing w:after="0"/>
              <w:rPr>
                <w:rFonts w:ascii="Arial" w:hAnsi="Arial" w:cs="Arial"/>
                <w:sz w:val="20"/>
                <w:szCs w:val="20"/>
                <w:lang w:val="en-GB"/>
              </w:rPr>
            </w:pPr>
            <w:r w:rsidRPr="006E21A6">
              <w:rPr>
                <w:rFonts w:ascii="Arial" w:hAnsi="Arial" w:cs="Arial"/>
                <w:sz w:val="20"/>
                <w:szCs w:val="20"/>
              </w:rPr>
              <w:t>The UE shall meet the requirements specified in clause 7.</w:t>
            </w:r>
            <w:r>
              <w:rPr>
                <w:rFonts w:ascii="Arial" w:hAnsi="Arial" w:cs="Arial"/>
                <w:sz w:val="20"/>
                <w:szCs w:val="20"/>
              </w:rPr>
              <w:t>6.2 (general requirements for single CC)</w:t>
            </w:r>
            <w:r w:rsidRPr="006E21A6">
              <w:rPr>
                <w:rFonts w:ascii="Arial" w:hAnsi="Arial" w:cs="Arial"/>
                <w:sz w:val="20"/>
                <w:szCs w:val="20"/>
              </w:rPr>
              <w:t xml:space="preserve"> for each component carrier while all downlink carriers are active with the uplink active on the band other than the band whose downlink is being tested</w:t>
            </w:r>
          </w:p>
        </w:tc>
      </w:tr>
    </w:tbl>
    <w:p w14:paraId="57982A90" w14:textId="73D96982" w:rsidR="000233F8" w:rsidRDefault="000233F8" w:rsidP="00A1016C">
      <w:pPr>
        <w:rPr>
          <w:rFonts w:ascii="Arial" w:hAnsi="Arial" w:cs="Arial"/>
          <w:sz w:val="20"/>
          <w:szCs w:val="20"/>
        </w:rPr>
      </w:pPr>
    </w:p>
    <w:p w14:paraId="76B1999B" w14:textId="368CC97D" w:rsidR="006E21A6" w:rsidRDefault="006E21A6" w:rsidP="00A1016C">
      <w:pPr>
        <w:rPr>
          <w:rFonts w:ascii="Arial" w:hAnsi="Arial" w:cs="Arial"/>
          <w:sz w:val="20"/>
          <w:szCs w:val="20"/>
        </w:rPr>
      </w:pPr>
      <w:r>
        <w:rPr>
          <w:rFonts w:ascii="Arial" w:hAnsi="Arial" w:cs="Arial"/>
          <w:sz w:val="20"/>
          <w:szCs w:val="20"/>
        </w:rPr>
        <w:t xml:space="preserve">For REFSENS and EIS spherical coverage, </w:t>
      </w:r>
      <w:r w:rsidR="00512119">
        <w:rPr>
          <w:rFonts w:ascii="Arial" w:hAnsi="Arial" w:cs="Arial"/>
          <w:sz w:val="20"/>
          <w:szCs w:val="20"/>
        </w:rPr>
        <w:t xml:space="preserve">under the same PSD imbalance level, due to larger frequency gaps in </w:t>
      </w:r>
      <w:r w:rsidR="00512119" w:rsidRPr="000B653C">
        <w:rPr>
          <w:rFonts w:ascii="Arial" w:hAnsi="Arial" w:cs="Arial"/>
          <w:sz w:val="20"/>
          <w:szCs w:val="20"/>
        </w:rPr>
        <w:t>CA_n258A-n260A and CA_n257A-n259A</w:t>
      </w:r>
      <w:r w:rsidR="00512119">
        <w:rPr>
          <w:rFonts w:ascii="Arial" w:hAnsi="Arial" w:cs="Arial"/>
          <w:sz w:val="20"/>
          <w:szCs w:val="20"/>
        </w:rPr>
        <w:t xml:space="preserve"> than the gap in CA_n260A-n261A, the filter rejection is better for </w:t>
      </w:r>
      <w:r w:rsidR="00512119" w:rsidRPr="000B653C">
        <w:rPr>
          <w:rFonts w:ascii="Arial" w:hAnsi="Arial" w:cs="Arial"/>
          <w:sz w:val="20"/>
          <w:szCs w:val="20"/>
        </w:rPr>
        <w:t>CA_n258A-n260A and CA_n257A-n259A</w:t>
      </w:r>
      <w:r w:rsidR="00512119">
        <w:rPr>
          <w:rFonts w:ascii="Arial" w:hAnsi="Arial" w:cs="Arial"/>
          <w:sz w:val="20"/>
          <w:szCs w:val="20"/>
        </w:rPr>
        <w:t xml:space="preserve"> than </w:t>
      </w:r>
      <w:r w:rsidR="009E6398">
        <w:rPr>
          <w:rFonts w:ascii="Arial" w:hAnsi="Arial" w:cs="Arial"/>
          <w:sz w:val="20"/>
          <w:szCs w:val="20"/>
        </w:rPr>
        <w:t xml:space="preserve">for </w:t>
      </w:r>
      <w:r w:rsidR="00512119">
        <w:rPr>
          <w:rFonts w:ascii="Arial" w:hAnsi="Arial" w:cs="Arial"/>
          <w:sz w:val="20"/>
          <w:szCs w:val="20"/>
        </w:rPr>
        <w:t>CA_n260A-n261A. But the gain is not significant due to gap increase ratio is small. We propose to</w:t>
      </w:r>
      <w:r w:rsidR="009E6398">
        <w:rPr>
          <w:rFonts w:ascii="Arial" w:hAnsi="Arial" w:cs="Arial"/>
          <w:sz w:val="20"/>
          <w:szCs w:val="20"/>
        </w:rPr>
        <w:t xml:space="preserve"> apply</w:t>
      </w:r>
      <w:r w:rsidR="00512119">
        <w:rPr>
          <w:rFonts w:ascii="Arial" w:hAnsi="Arial" w:cs="Arial"/>
          <w:sz w:val="20"/>
          <w:szCs w:val="20"/>
        </w:rPr>
        <w:t xml:space="preserve"> the </w:t>
      </w:r>
      <w:r w:rsidR="009E6398">
        <w:rPr>
          <w:rFonts w:ascii="Arial" w:hAnsi="Arial" w:cs="Arial"/>
          <w:sz w:val="20"/>
          <w:szCs w:val="20"/>
        </w:rPr>
        <w:t xml:space="preserve">same </w:t>
      </w:r>
      <w:r w:rsidR="00512119">
        <w:rPr>
          <w:rFonts w:ascii="Arial" w:hAnsi="Arial" w:cs="Arial"/>
          <w:sz w:val="20"/>
          <w:szCs w:val="20"/>
        </w:rPr>
        <w:t>requirements</w:t>
      </w:r>
      <w:r w:rsidR="009E6398">
        <w:rPr>
          <w:rFonts w:ascii="Arial" w:hAnsi="Arial" w:cs="Arial"/>
          <w:sz w:val="20"/>
          <w:szCs w:val="20"/>
        </w:rPr>
        <w:t xml:space="preserve"> for CA_n260A-n261A to </w:t>
      </w:r>
      <w:r w:rsidR="009E6398" w:rsidRPr="000B653C">
        <w:rPr>
          <w:rFonts w:ascii="Arial" w:hAnsi="Arial" w:cs="Arial"/>
          <w:sz w:val="20"/>
          <w:szCs w:val="20"/>
        </w:rPr>
        <w:t>CA_n258A-n260A and CA_n257A-n259A</w:t>
      </w:r>
      <w:r w:rsidR="009E6398">
        <w:rPr>
          <w:rFonts w:ascii="Arial" w:hAnsi="Arial" w:cs="Arial"/>
          <w:sz w:val="20"/>
          <w:szCs w:val="20"/>
        </w:rPr>
        <w:t>.</w:t>
      </w:r>
    </w:p>
    <w:p w14:paraId="6B419FFE" w14:textId="4FA3C52A" w:rsidR="009E6398" w:rsidRDefault="009E6398" w:rsidP="00A1016C">
      <w:pPr>
        <w:rPr>
          <w:rFonts w:ascii="Arial" w:hAnsi="Arial" w:cs="Arial"/>
          <w:sz w:val="20"/>
          <w:szCs w:val="20"/>
        </w:rPr>
      </w:pPr>
    </w:p>
    <w:p w14:paraId="58CFB9B1" w14:textId="472CE32D" w:rsidR="009E6398" w:rsidRDefault="009E6398" w:rsidP="00A1016C">
      <w:pPr>
        <w:rPr>
          <w:rFonts w:ascii="Arial" w:hAnsi="Arial" w:cs="Arial"/>
          <w:sz w:val="20"/>
          <w:szCs w:val="20"/>
        </w:rPr>
      </w:pPr>
      <w:r>
        <w:rPr>
          <w:rFonts w:ascii="Arial" w:hAnsi="Arial" w:cs="Arial"/>
          <w:sz w:val="20"/>
          <w:szCs w:val="20"/>
        </w:rPr>
        <w:t xml:space="preserve">Regarding Maximum input power level, ACLR and In-band blocking, we also think the requirements for CA_n260A-n261A can be applied to </w:t>
      </w:r>
      <w:r w:rsidRPr="000B653C">
        <w:rPr>
          <w:rFonts w:ascii="Arial" w:hAnsi="Arial" w:cs="Arial"/>
          <w:sz w:val="20"/>
          <w:szCs w:val="20"/>
        </w:rPr>
        <w:t>CA_n258A-n260A and CA_n257A-n259A</w:t>
      </w:r>
      <w:r>
        <w:rPr>
          <w:rFonts w:ascii="Arial" w:hAnsi="Arial" w:cs="Arial"/>
          <w:sz w:val="20"/>
          <w:szCs w:val="20"/>
        </w:rPr>
        <w:t xml:space="preserve"> without any changes due to the same reason.</w:t>
      </w:r>
    </w:p>
    <w:p w14:paraId="20141B41" w14:textId="3E66414A" w:rsidR="009E6398" w:rsidRDefault="009E6398" w:rsidP="00A1016C">
      <w:pPr>
        <w:rPr>
          <w:rFonts w:ascii="Arial" w:hAnsi="Arial" w:cs="Arial"/>
          <w:sz w:val="20"/>
          <w:szCs w:val="20"/>
        </w:rPr>
      </w:pPr>
    </w:p>
    <w:p w14:paraId="73E381F5" w14:textId="60F2C28D" w:rsidR="009E6398" w:rsidRPr="009E6398" w:rsidRDefault="009E6398" w:rsidP="00A1016C">
      <w:pPr>
        <w:rPr>
          <w:rFonts w:ascii="Arial" w:hAnsi="Arial" w:cs="Arial"/>
          <w:b/>
          <w:bCs/>
          <w:sz w:val="20"/>
          <w:szCs w:val="20"/>
        </w:rPr>
      </w:pPr>
      <w:r w:rsidRPr="009E6398">
        <w:rPr>
          <w:rFonts w:ascii="Arial" w:hAnsi="Arial" w:cs="Arial"/>
          <w:b/>
          <w:bCs/>
          <w:sz w:val="20"/>
          <w:szCs w:val="20"/>
        </w:rPr>
        <w:t>Proposal:</w:t>
      </w:r>
      <w:r>
        <w:rPr>
          <w:rFonts w:ascii="Arial" w:hAnsi="Arial" w:cs="Arial"/>
          <w:b/>
          <w:bCs/>
          <w:sz w:val="20"/>
          <w:szCs w:val="20"/>
        </w:rPr>
        <w:t xml:space="preserve"> </w:t>
      </w:r>
      <w:r w:rsidRPr="009E6398">
        <w:rPr>
          <w:rFonts w:ascii="Arial" w:hAnsi="Arial" w:cs="Arial"/>
          <w:sz w:val="20"/>
          <w:szCs w:val="20"/>
        </w:rPr>
        <w:t xml:space="preserve">Apply </w:t>
      </w:r>
      <w:r>
        <w:rPr>
          <w:rFonts w:ascii="Arial" w:hAnsi="Arial" w:cs="Arial"/>
          <w:sz w:val="20"/>
          <w:szCs w:val="20"/>
        </w:rPr>
        <w:t xml:space="preserve">the same requirements defined </w:t>
      </w:r>
      <w:r w:rsidR="00FA014D">
        <w:rPr>
          <w:rFonts w:ascii="Arial" w:hAnsi="Arial" w:cs="Arial"/>
          <w:sz w:val="20"/>
          <w:szCs w:val="20"/>
        </w:rPr>
        <w:t>for CA</w:t>
      </w:r>
      <w:r>
        <w:rPr>
          <w:rFonts w:ascii="Arial" w:hAnsi="Arial" w:cs="Arial"/>
          <w:sz w:val="20"/>
          <w:szCs w:val="20"/>
        </w:rPr>
        <w:t xml:space="preserve">_n260A-n261A to </w:t>
      </w:r>
      <w:r w:rsidRPr="000B653C">
        <w:rPr>
          <w:rFonts w:ascii="Arial" w:hAnsi="Arial" w:cs="Arial"/>
          <w:sz w:val="20"/>
          <w:szCs w:val="20"/>
        </w:rPr>
        <w:t>CA_n258A-n260A and CA_n257A-n259A</w:t>
      </w:r>
      <w:r>
        <w:rPr>
          <w:rFonts w:ascii="Arial" w:hAnsi="Arial" w:cs="Arial"/>
          <w:sz w:val="20"/>
          <w:szCs w:val="20"/>
        </w:rPr>
        <w:t>.</w:t>
      </w:r>
    </w:p>
    <w:p w14:paraId="7281A0B2" w14:textId="77777777" w:rsidR="006E21A6" w:rsidRPr="000B653C" w:rsidRDefault="006E21A6" w:rsidP="00A1016C">
      <w:pPr>
        <w:rPr>
          <w:rFonts w:ascii="Arial" w:hAnsi="Arial" w:cs="Arial"/>
          <w:sz w:val="20"/>
          <w:szCs w:val="20"/>
        </w:rPr>
      </w:pPr>
    </w:p>
    <w:p w14:paraId="10DC3689" w14:textId="77777777" w:rsidR="00A1016C" w:rsidRPr="00A1016C" w:rsidRDefault="00A1016C" w:rsidP="00A1016C"/>
    <w:p w14:paraId="42AF4426" w14:textId="48740941" w:rsidR="00EE4489" w:rsidRDefault="0069757C" w:rsidP="00EE4489">
      <w:pPr>
        <w:pStyle w:val="Heading1"/>
      </w:pPr>
      <w:r w:rsidRPr="002D78E7">
        <w:t>Conclusion</w:t>
      </w:r>
    </w:p>
    <w:p w14:paraId="5857DC2A" w14:textId="73970312" w:rsidR="00ED4E1C" w:rsidRDefault="00FA014D" w:rsidP="00831277">
      <w:pPr>
        <w:rPr>
          <w:rFonts w:ascii="Arial" w:hAnsi="Arial" w:cs="Arial"/>
          <w:sz w:val="20"/>
          <w:szCs w:val="20"/>
        </w:rPr>
      </w:pPr>
      <w:r>
        <w:rPr>
          <w:rFonts w:ascii="Arial" w:hAnsi="Arial" w:cs="Arial"/>
          <w:sz w:val="20"/>
          <w:szCs w:val="20"/>
        </w:rPr>
        <w:t>For UE</w:t>
      </w:r>
      <w:r w:rsidRPr="00FA014D">
        <w:rPr>
          <w:rFonts w:ascii="Arial" w:hAnsi="Arial" w:cs="Arial"/>
          <w:sz w:val="20"/>
          <w:szCs w:val="20"/>
        </w:rPr>
        <w:t xml:space="preserve"> requirements for CA_258A-n260A and CA_257A-n259A based on IBM</w:t>
      </w:r>
      <w:r>
        <w:rPr>
          <w:rFonts w:ascii="Arial" w:hAnsi="Arial" w:cs="Arial"/>
          <w:sz w:val="20"/>
          <w:szCs w:val="20"/>
        </w:rPr>
        <w:t>, we have following proposal:</w:t>
      </w:r>
    </w:p>
    <w:p w14:paraId="4A31E52A" w14:textId="77315DF6" w:rsidR="00FA014D" w:rsidRDefault="00FA014D" w:rsidP="00831277">
      <w:pPr>
        <w:rPr>
          <w:rFonts w:ascii="Arial" w:hAnsi="Arial" w:cs="Arial"/>
          <w:sz w:val="20"/>
          <w:szCs w:val="20"/>
        </w:rPr>
      </w:pPr>
    </w:p>
    <w:p w14:paraId="79E22449" w14:textId="77777777" w:rsidR="00FA014D" w:rsidRPr="009E6398" w:rsidRDefault="00FA014D" w:rsidP="00FA014D">
      <w:pPr>
        <w:rPr>
          <w:rFonts w:ascii="Arial" w:hAnsi="Arial" w:cs="Arial"/>
          <w:b/>
          <w:bCs/>
          <w:sz w:val="20"/>
          <w:szCs w:val="20"/>
        </w:rPr>
      </w:pPr>
      <w:r w:rsidRPr="009E6398">
        <w:rPr>
          <w:rFonts w:ascii="Arial" w:hAnsi="Arial" w:cs="Arial"/>
          <w:b/>
          <w:bCs/>
          <w:sz w:val="20"/>
          <w:szCs w:val="20"/>
        </w:rPr>
        <w:t>Proposal:</w:t>
      </w:r>
      <w:r>
        <w:rPr>
          <w:rFonts w:ascii="Arial" w:hAnsi="Arial" w:cs="Arial"/>
          <w:b/>
          <w:bCs/>
          <w:sz w:val="20"/>
          <w:szCs w:val="20"/>
        </w:rPr>
        <w:t xml:space="preserve"> </w:t>
      </w:r>
      <w:r w:rsidRPr="009E6398">
        <w:rPr>
          <w:rFonts w:ascii="Arial" w:hAnsi="Arial" w:cs="Arial"/>
          <w:sz w:val="20"/>
          <w:szCs w:val="20"/>
        </w:rPr>
        <w:t xml:space="preserve">Apply </w:t>
      </w:r>
      <w:r>
        <w:rPr>
          <w:rFonts w:ascii="Arial" w:hAnsi="Arial" w:cs="Arial"/>
          <w:sz w:val="20"/>
          <w:szCs w:val="20"/>
        </w:rPr>
        <w:t xml:space="preserve">the same requirements defined for CA_n260A-n261A to </w:t>
      </w:r>
      <w:r w:rsidRPr="000B653C">
        <w:rPr>
          <w:rFonts w:ascii="Arial" w:hAnsi="Arial" w:cs="Arial"/>
          <w:sz w:val="20"/>
          <w:szCs w:val="20"/>
        </w:rPr>
        <w:t>CA_n258A-n260A and CA_n257A-n259A</w:t>
      </w:r>
      <w:r>
        <w:rPr>
          <w:rFonts w:ascii="Arial" w:hAnsi="Arial" w:cs="Arial"/>
          <w:sz w:val="20"/>
          <w:szCs w:val="20"/>
        </w:rPr>
        <w:t>.</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613A75B6" w14:textId="77777777" w:rsidR="00A567BF" w:rsidRDefault="00A567BF" w:rsidP="00A567BF">
      <w:pPr>
        <w:overflowPunct w:val="0"/>
        <w:autoSpaceDE w:val="0"/>
        <w:autoSpaceDN w:val="0"/>
        <w:adjustRightInd w:val="0"/>
        <w:spacing w:after="180"/>
        <w:ind w:left="360"/>
        <w:textAlignment w:val="baseline"/>
        <w:rPr>
          <w:rFonts w:ascii="Arial" w:hAnsi="Arial" w:cs="Arial"/>
          <w:sz w:val="20"/>
          <w:szCs w:val="20"/>
        </w:rPr>
      </w:pPr>
      <w:bookmarkStart w:id="1" w:name="_Ref503571639"/>
    </w:p>
    <w:p w14:paraId="107BC291" w14:textId="239F49A2" w:rsidR="00B426A7" w:rsidRDefault="00A567BF" w:rsidP="00BB6CE4">
      <w:pPr>
        <w:numPr>
          <w:ilvl w:val="0"/>
          <w:numId w:val="45"/>
        </w:numPr>
        <w:overflowPunct w:val="0"/>
        <w:autoSpaceDE w:val="0"/>
        <w:autoSpaceDN w:val="0"/>
        <w:adjustRightInd w:val="0"/>
        <w:spacing w:after="180"/>
        <w:textAlignment w:val="baseline"/>
        <w:rPr>
          <w:rFonts w:ascii="Arial" w:hAnsi="Arial" w:cs="Arial"/>
          <w:sz w:val="20"/>
          <w:szCs w:val="20"/>
        </w:rPr>
      </w:pPr>
      <w:r w:rsidRPr="00A567BF">
        <w:rPr>
          <w:rFonts w:ascii="Arial" w:hAnsi="Arial" w:cs="Arial"/>
          <w:sz w:val="20"/>
          <w:szCs w:val="20"/>
        </w:rPr>
        <w:t>R</w:t>
      </w:r>
      <w:r w:rsidR="00485104">
        <w:rPr>
          <w:rFonts w:ascii="Arial" w:hAnsi="Arial" w:cs="Arial"/>
          <w:sz w:val="20"/>
          <w:szCs w:val="20"/>
        </w:rPr>
        <w:t>P</w:t>
      </w:r>
      <w:r w:rsidRPr="00A567BF">
        <w:rPr>
          <w:rFonts w:ascii="Arial" w:hAnsi="Arial" w:cs="Arial"/>
          <w:sz w:val="20"/>
          <w:szCs w:val="20"/>
        </w:rPr>
        <w:t>-</w:t>
      </w:r>
      <w:r>
        <w:rPr>
          <w:rFonts w:ascii="Arial" w:hAnsi="Arial" w:cs="Arial"/>
          <w:sz w:val="20"/>
          <w:szCs w:val="20"/>
        </w:rPr>
        <w:t>20</w:t>
      </w:r>
      <w:r w:rsidR="00485104">
        <w:rPr>
          <w:rFonts w:ascii="Arial" w:hAnsi="Arial" w:cs="Arial"/>
          <w:sz w:val="20"/>
          <w:szCs w:val="20"/>
        </w:rPr>
        <w:t>2107</w:t>
      </w:r>
      <w:r w:rsidRPr="00A567BF">
        <w:rPr>
          <w:rFonts w:ascii="Arial" w:hAnsi="Arial" w:cs="Arial"/>
          <w:sz w:val="20"/>
          <w:szCs w:val="20"/>
        </w:rPr>
        <w:t>, “</w:t>
      </w:r>
      <w:r w:rsidR="00485104">
        <w:rPr>
          <w:rFonts w:ascii="Arial" w:hAnsi="Arial" w:cs="Arial"/>
          <w:sz w:val="20"/>
          <w:szCs w:val="20"/>
        </w:rPr>
        <w:t>New WID on NR RF Enhancements for FR2”, Nokia, RAN89.</w:t>
      </w:r>
    </w:p>
    <w:p w14:paraId="30D8A2B2" w14:textId="347507BD" w:rsidR="003305F3" w:rsidRPr="00BB6CE4" w:rsidRDefault="003305F3" w:rsidP="00BB6CE4">
      <w:pPr>
        <w:numPr>
          <w:ilvl w:val="0"/>
          <w:numId w:val="45"/>
        </w:num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lastRenderedPageBreak/>
        <w:t>R4- 20</w:t>
      </w:r>
      <w:r w:rsidR="00BA7DD0">
        <w:rPr>
          <w:rFonts w:ascii="Arial" w:hAnsi="Arial" w:cs="Arial"/>
          <w:sz w:val="20"/>
          <w:szCs w:val="20"/>
        </w:rPr>
        <w:t>14587</w:t>
      </w:r>
      <w:bookmarkStart w:id="2" w:name="_GoBack"/>
      <w:bookmarkEnd w:id="2"/>
      <w:r>
        <w:rPr>
          <w:rFonts w:ascii="Arial" w:hAnsi="Arial" w:cs="Arial"/>
          <w:sz w:val="20"/>
          <w:szCs w:val="20"/>
        </w:rPr>
        <w:t>, “</w:t>
      </w:r>
      <w:r w:rsidRPr="003305F3">
        <w:rPr>
          <w:rFonts w:ascii="Arial" w:hAnsi="Arial" w:cs="Arial"/>
          <w:sz w:val="20"/>
          <w:szCs w:val="20"/>
        </w:rPr>
        <w:t>On IBM feasibility for CA configurations within same frequency group</w:t>
      </w:r>
      <w:r>
        <w:rPr>
          <w:rFonts w:ascii="Arial" w:hAnsi="Arial" w:cs="Arial"/>
          <w:sz w:val="20"/>
          <w:szCs w:val="20"/>
        </w:rPr>
        <w:t>”, Intel, RAN4-97e</w:t>
      </w:r>
    </w:p>
    <w:bookmarkEnd w:id="1"/>
    <w:p w14:paraId="5B1DBB01" w14:textId="77777777" w:rsidR="00A567BF" w:rsidRPr="004B0DEA" w:rsidRDefault="00A567BF" w:rsidP="004B0DEA">
      <w:pPr>
        <w:spacing w:before="120" w:after="120"/>
        <w:rPr>
          <w:rFonts w:ascii="Arial" w:hAnsi="Arial" w:cs="Arial"/>
          <w:bCs/>
          <w:sz w:val="20"/>
          <w:szCs w:val="20"/>
        </w:rPr>
      </w:pPr>
    </w:p>
    <w:sectPr w:rsidR="00A567BF" w:rsidRPr="004B0DEA" w:rsidSect="00077DA3">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10BC5" w14:textId="77777777" w:rsidR="00D243D4" w:rsidRDefault="00D243D4">
      <w:r>
        <w:separator/>
      </w:r>
    </w:p>
  </w:endnote>
  <w:endnote w:type="continuationSeparator" w:id="0">
    <w:p w14:paraId="7BBBBD36" w14:textId="77777777" w:rsidR="00D243D4" w:rsidRDefault="00D2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Intel Clear">
    <w:altName w:val="Arial"/>
    <w:panose1 w:val="020B0604020203020204"/>
    <w:charset w:val="00"/>
    <w:family w:val="swiss"/>
    <w:pitch w:val="variable"/>
    <w:sig w:usb0="E10006FF" w:usb1="400060FB" w:usb2="00000028"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0A40BA" w:rsidRDefault="000A40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0A40BA" w:rsidRDefault="000A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0A40BA" w:rsidRDefault="000A40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0A40BA" w:rsidRDefault="000A40B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146F8" w14:textId="77777777" w:rsidR="000A40BA" w:rsidRDefault="000A40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55F0B" w14:textId="77777777" w:rsidR="00D243D4" w:rsidRDefault="00D243D4">
      <w:r>
        <w:separator/>
      </w:r>
    </w:p>
  </w:footnote>
  <w:footnote w:type="continuationSeparator" w:id="0">
    <w:p w14:paraId="6D6EE92A" w14:textId="77777777" w:rsidR="00D243D4" w:rsidRDefault="00D24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5509" w14:textId="77777777" w:rsidR="000A40BA" w:rsidRDefault="000A40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FF32" w14:textId="77777777" w:rsidR="000A40BA" w:rsidRDefault="000A40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695C" w14:textId="77777777" w:rsidR="000A40BA" w:rsidRDefault="000A40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075DA0"/>
    <w:multiLevelType w:val="hybridMultilevel"/>
    <w:tmpl w:val="100E52D2"/>
    <w:lvl w:ilvl="0" w:tplc="CCF4414A">
      <w:start w:val="1"/>
      <w:numFmt w:val="bullet"/>
      <w:lvlText w:val="–"/>
      <w:lvlJc w:val="left"/>
      <w:pPr>
        <w:tabs>
          <w:tab w:val="num" w:pos="720"/>
        </w:tabs>
        <w:ind w:left="720" w:hanging="360"/>
      </w:pPr>
      <w:rPr>
        <w:rFonts w:ascii="Intel Clear" w:hAnsi="Intel Clear" w:hint="default"/>
      </w:rPr>
    </w:lvl>
    <w:lvl w:ilvl="1" w:tplc="3B802C7E" w:tentative="1">
      <w:start w:val="1"/>
      <w:numFmt w:val="bullet"/>
      <w:lvlText w:val="–"/>
      <w:lvlJc w:val="left"/>
      <w:pPr>
        <w:tabs>
          <w:tab w:val="num" w:pos="1440"/>
        </w:tabs>
        <w:ind w:left="1440" w:hanging="360"/>
      </w:pPr>
      <w:rPr>
        <w:rFonts w:ascii="Intel Clear" w:hAnsi="Intel Clear" w:hint="default"/>
      </w:rPr>
    </w:lvl>
    <w:lvl w:ilvl="2" w:tplc="6694986E">
      <w:start w:val="1"/>
      <w:numFmt w:val="bullet"/>
      <w:lvlText w:val="–"/>
      <w:lvlJc w:val="left"/>
      <w:pPr>
        <w:tabs>
          <w:tab w:val="num" w:pos="2160"/>
        </w:tabs>
        <w:ind w:left="2160" w:hanging="360"/>
      </w:pPr>
      <w:rPr>
        <w:rFonts w:ascii="Intel Clear" w:hAnsi="Intel Clear" w:hint="default"/>
      </w:rPr>
    </w:lvl>
    <w:lvl w:ilvl="3" w:tplc="18C6E0EC" w:tentative="1">
      <w:start w:val="1"/>
      <w:numFmt w:val="bullet"/>
      <w:lvlText w:val="–"/>
      <w:lvlJc w:val="left"/>
      <w:pPr>
        <w:tabs>
          <w:tab w:val="num" w:pos="2880"/>
        </w:tabs>
        <w:ind w:left="2880" w:hanging="360"/>
      </w:pPr>
      <w:rPr>
        <w:rFonts w:ascii="Intel Clear" w:hAnsi="Intel Clear" w:hint="default"/>
      </w:rPr>
    </w:lvl>
    <w:lvl w:ilvl="4" w:tplc="56F46A82" w:tentative="1">
      <w:start w:val="1"/>
      <w:numFmt w:val="bullet"/>
      <w:lvlText w:val="–"/>
      <w:lvlJc w:val="left"/>
      <w:pPr>
        <w:tabs>
          <w:tab w:val="num" w:pos="3600"/>
        </w:tabs>
        <w:ind w:left="3600" w:hanging="360"/>
      </w:pPr>
      <w:rPr>
        <w:rFonts w:ascii="Intel Clear" w:hAnsi="Intel Clear" w:hint="default"/>
      </w:rPr>
    </w:lvl>
    <w:lvl w:ilvl="5" w:tplc="9C862B0E" w:tentative="1">
      <w:start w:val="1"/>
      <w:numFmt w:val="bullet"/>
      <w:lvlText w:val="–"/>
      <w:lvlJc w:val="left"/>
      <w:pPr>
        <w:tabs>
          <w:tab w:val="num" w:pos="4320"/>
        </w:tabs>
        <w:ind w:left="4320" w:hanging="360"/>
      </w:pPr>
      <w:rPr>
        <w:rFonts w:ascii="Intel Clear" w:hAnsi="Intel Clear" w:hint="default"/>
      </w:rPr>
    </w:lvl>
    <w:lvl w:ilvl="6" w:tplc="2A683DB6" w:tentative="1">
      <w:start w:val="1"/>
      <w:numFmt w:val="bullet"/>
      <w:lvlText w:val="–"/>
      <w:lvlJc w:val="left"/>
      <w:pPr>
        <w:tabs>
          <w:tab w:val="num" w:pos="5040"/>
        </w:tabs>
        <w:ind w:left="5040" w:hanging="360"/>
      </w:pPr>
      <w:rPr>
        <w:rFonts w:ascii="Intel Clear" w:hAnsi="Intel Clear" w:hint="default"/>
      </w:rPr>
    </w:lvl>
    <w:lvl w:ilvl="7" w:tplc="0082EC14" w:tentative="1">
      <w:start w:val="1"/>
      <w:numFmt w:val="bullet"/>
      <w:lvlText w:val="–"/>
      <w:lvlJc w:val="left"/>
      <w:pPr>
        <w:tabs>
          <w:tab w:val="num" w:pos="5760"/>
        </w:tabs>
        <w:ind w:left="5760" w:hanging="360"/>
      </w:pPr>
      <w:rPr>
        <w:rFonts w:ascii="Intel Clear" w:hAnsi="Intel Clear" w:hint="default"/>
      </w:rPr>
    </w:lvl>
    <w:lvl w:ilvl="8" w:tplc="5D9A6E96"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E66195"/>
    <w:multiLevelType w:val="hybridMultilevel"/>
    <w:tmpl w:val="B6F6A73A"/>
    <w:lvl w:ilvl="0" w:tplc="DFC4F394">
      <w:start w:val="1"/>
      <w:numFmt w:val="bullet"/>
      <w:lvlText w:val="•"/>
      <w:lvlJc w:val="left"/>
      <w:pPr>
        <w:tabs>
          <w:tab w:val="num" w:pos="720"/>
        </w:tabs>
        <w:ind w:left="720" w:hanging="360"/>
      </w:pPr>
      <w:rPr>
        <w:rFonts w:ascii="Arial" w:hAnsi="Arial" w:hint="default"/>
      </w:rPr>
    </w:lvl>
    <w:lvl w:ilvl="1" w:tplc="38B8506A">
      <w:start w:val="302"/>
      <w:numFmt w:val="bullet"/>
      <w:lvlText w:val="•"/>
      <w:lvlJc w:val="left"/>
      <w:pPr>
        <w:tabs>
          <w:tab w:val="num" w:pos="1440"/>
        </w:tabs>
        <w:ind w:left="1440" w:hanging="360"/>
      </w:pPr>
      <w:rPr>
        <w:rFonts w:ascii="Arial" w:hAnsi="Arial" w:hint="default"/>
      </w:rPr>
    </w:lvl>
    <w:lvl w:ilvl="2" w:tplc="80B2D496">
      <w:start w:val="302"/>
      <w:numFmt w:val="bullet"/>
      <w:lvlText w:val="•"/>
      <w:lvlJc w:val="left"/>
      <w:pPr>
        <w:tabs>
          <w:tab w:val="num" w:pos="2160"/>
        </w:tabs>
        <w:ind w:left="2160" w:hanging="360"/>
      </w:pPr>
      <w:rPr>
        <w:rFonts w:ascii="Arial" w:hAnsi="Arial" w:hint="default"/>
      </w:rPr>
    </w:lvl>
    <w:lvl w:ilvl="3" w:tplc="0776943E" w:tentative="1">
      <w:start w:val="1"/>
      <w:numFmt w:val="bullet"/>
      <w:lvlText w:val="•"/>
      <w:lvlJc w:val="left"/>
      <w:pPr>
        <w:tabs>
          <w:tab w:val="num" w:pos="2880"/>
        </w:tabs>
        <w:ind w:left="2880" w:hanging="360"/>
      </w:pPr>
      <w:rPr>
        <w:rFonts w:ascii="Arial" w:hAnsi="Arial" w:hint="default"/>
      </w:rPr>
    </w:lvl>
    <w:lvl w:ilvl="4" w:tplc="BAB8DA48" w:tentative="1">
      <w:start w:val="1"/>
      <w:numFmt w:val="bullet"/>
      <w:lvlText w:val="•"/>
      <w:lvlJc w:val="left"/>
      <w:pPr>
        <w:tabs>
          <w:tab w:val="num" w:pos="3600"/>
        </w:tabs>
        <w:ind w:left="3600" w:hanging="360"/>
      </w:pPr>
      <w:rPr>
        <w:rFonts w:ascii="Arial" w:hAnsi="Arial" w:hint="default"/>
      </w:rPr>
    </w:lvl>
    <w:lvl w:ilvl="5" w:tplc="B6D45CDA" w:tentative="1">
      <w:start w:val="1"/>
      <w:numFmt w:val="bullet"/>
      <w:lvlText w:val="•"/>
      <w:lvlJc w:val="left"/>
      <w:pPr>
        <w:tabs>
          <w:tab w:val="num" w:pos="4320"/>
        </w:tabs>
        <w:ind w:left="4320" w:hanging="360"/>
      </w:pPr>
      <w:rPr>
        <w:rFonts w:ascii="Arial" w:hAnsi="Arial" w:hint="default"/>
      </w:rPr>
    </w:lvl>
    <w:lvl w:ilvl="6" w:tplc="777435D4" w:tentative="1">
      <w:start w:val="1"/>
      <w:numFmt w:val="bullet"/>
      <w:lvlText w:val="•"/>
      <w:lvlJc w:val="left"/>
      <w:pPr>
        <w:tabs>
          <w:tab w:val="num" w:pos="5040"/>
        </w:tabs>
        <w:ind w:left="5040" w:hanging="360"/>
      </w:pPr>
      <w:rPr>
        <w:rFonts w:ascii="Arial" w:hAnsi="Arial" w:hint="default"/>
      </w:rPr>
    </w:lvl>
    <w:lvl w:ilvl="7" w:tplc="66427AEC" w:tentative="1">
      <w:start w:val="1"/>
      <w:numFmt w:val="bullet"/>
      <w:lvlText w:val="•"/>
      <w:lvlJc w:val="left"/>
      <w:pPr>
        <w:tabs>
          <w:tab w:val="num" w:pos="5760"/>
        </w:tabs>
        <w:ind w:left="5760" w:hanging="360"/>
      </w:pPr>
      <w:rPr>
        <w:rFonts w:ascii="Arial" w:hAnsi="Arial" w:hint="default"/>
      </w:rPr>
    </w:lvl>
    <w:lvl w:ilvl="8" w:tplc="3AA415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7"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574183C"/>
    <w:multiLevelType w:val="hybridMultilevel"/>
    <w:tmpl w:val="CA7ED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67188C"/>
    <w:multiLevelType w:val="hybridMultilevel"/>
    <w:tmpl w:val="D4A8E618"/>
    <w:lvl w:ilvl="0" w:tplc="E4482DAE">
      <w:start w:val="1"/>
      <w:numFmt w:val="bullet"/>
      <w:lvlText w:val="•"/>
      <w:lvlJc w:val="left"/>
      <w:pPr>
        <w:tabs>
          <w:tab w:val="num" w:pos="720"/>
        </w:tabs>
        <w:ind w:left="720" w:hanging="360"/>
      </w:pPr>
      <w:rPr>
        <w:rFonts w:ascii="Arial" w:hAnsi="Arial" w:hint="default"/>
      </w:rPr>
    </w:lvl>
    <w:lvl w:ilvl="1" w:tplc="EAAED100">
      <w:start w:val="151"/>
      <w:numFmt w:val="bullet"/>
      <w:lvlText w:val="•"/>
      <w:lvlJc w:val="left"/>
      <w:pPr>
        <w:tabs>
          <w:tab w:val="num" w:pos="1440"/>
        </w:tabs>
        <w:ind w:left="1440" w:hanging="360"/>
      </w:pPr>
      <w:rPr>
        <w:rFonts w:ascii="Arial" w:hAnsi="Arial" w:hint="default"/>
      </w:rPr>
    </w:lvl>
    <w:lvl w:ilvl="2" w:tplc="A65804F2" w:tentative="1">
      <w:start w:val="1"/>
      <w:numFmt w:val="bullet"/>
      <w:lvlText w:val="•"/>
      <w:lvlJc w:val="left"/>
      <w:pPr>
        <w:tabs>
          <w:tab w:val="num" w:pos="2160"/>
        </w:tabs>
        <w:ind w:left="2160" w:hanging="360"/>
      </w:pPr>
      <w:rPr>
        <w:rFonts w:ascii="Arial" w:hAnsi="Arial" w:hint="default"/>
      </w:rPr>
    </w:lvl>
    <w:lvl w:ilvl="3" w:tplc="04E40C24" w:tentative="1">
      <w:start w:val="1"/>
      <w:numFmt w:val="bullet"/>
      <w:lvlText w:val="•"/>
      <w:lvlJc w:val="left"/>
      <w:pPr>
        <w:tabs>
          <w:tab w:val="num" w:pos="2880"/>
        </w:tabs>
        <w:ind w:left="2880" w:hanging="360"/>
      </w:pPr>
      <w:rPr>
        <w:rFonts w:ascii="Arial" w:hAnsi="Arial" w:hint="default"/>
      </w:rPr>
    </w:lvl>
    <w:lvl w:ilvl="4" w:tplc="3CBA00B0" w:tentative="1">
      <w:start w:val="1"/>
      <w:numFmt w:val="bullet"/>
      <w:lvlText w:val="•"/>
      <w:lvlJc w:val="left"/>
      <w:pPr>
        <w:tabs>
          <w:tab w:val="num" w:pos="3600"/>
        </w:tabs>
        <w:ind w:left="3600" w:hanging="360"/>
      </w:pPr>
      <w:rPr>
        <w:rFonts w:ascii="Arial" w:hAnsi="Arial" w:hint="default"/>
      </w:rPr>
    </w:lvl>
    <w:lvl w:ilvl="5" w:tplc="C03C6710" w:tentative="1">
      <w:start w:val="1"/>
      <w:numFmt w:val="bullet"/>
      <w:lvlText w:val="•"/>
      <w:lvlJc w:val="left"/>
      <w:pPr>
        <w:tabs>
          <w:tab w:val="num" w:pos="4320"/>
        </w:tabs>
        <w:ind w:left="4320" w:hanging="360"/>
      </w:pPr>
      <w:rPr>
        <w:rFonts w:ascii="Arial" w:hAnsi="Arial" w:hint="default"/>
      </w:rPr>
    </w:lvl>
    <w:lvl w:ilvl="6" w:tplc="6F2A0D12" w:tentative="1">
      <w:start w:val="1"/>
      <w:numFmt w:val="bullet"/>
      <w:lvlText w:val="•"/>
      <w:lvlJc w:val="left"/>
      <w:pPr>
        <w:tabs>
          <w:tab w:val="num" w:pos="5040"/>
        </w:tabs>
        <w:ind w:left="5040" w:hanging="360"/>
      </w:pPr>
      <w:rPr>
        <w:rFonts w:ascii="Arial" w:hAnsi="Arial" w:hint="default"/>
      </w:rPr>
    </w:lvl>
    <w:lvl w:ilvl="7" w:tplc="E71C9A3C" w:tentative="1">
      <w:start w:val="1"/>
      <w:numFmt w:val="bullet"/>
      <w:lvlText w:val="•"/>
      <w:lvlJc w:val="left"/>
      <w:pPr>
        <w:tabs>
          <w:tab w:val="num" w:pos="5760"/>
        </w:tabs>
        <w:ind w:left="5760" w:hanging="360"/>
      </w:pPr>
      <w:rPr>
        <w:rFonts w:ascii="Arial" w:hAnsi="Arial" w:hint="default"/>
      </w:rPr>
    </w:lvl>
    <w:lvl w:ilvl="8" w:tplc="965E3C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CFF1D85"/>
    <w:multiLevelType w:val="hybridMultilevel"/>
    <w:tmpl w:val="7784643E"/>
    <w:lvl w:ilvl="0" w:tplc="0DC6B9BA">
      <w:start w:val="1"/>
      <w:numFmt w:val="bullet"/>
      <w:lvlText w:val="–"/>
      <w:lvlJc w:val="left"/>
      <w:pPr>
        <w:tabs>
          <w:tab w:val="num" w:pos="720"/>
        </w:tabs>
        <w:ind w:left="720" w:hanging="360"/>
      </w:pPr>
      <w:rPr>
        <w:rFonts w:ascii="Intel Clear" w:hAnsi="Intel Clear" w:hint="default"/>
      </w:rPr>
    </w:lvl>
    <w:lvl w:ilvl="1" w:tplc="857A1A8E" w:tentative="1">
      <w:start w:val="1"/>
      <w:numFmt w:val="bullet"/>
      <w:lvlText w:val="–"/>
      <w:lvlJc w:val="left"/>
      <w:pPr>
        <w:tabs>
          <w:tab w:val="num" w:pos="1440"/>
        </w:tabs>
        <w:ind w:left="1440" w:hanging="360"/>
      </w:pPr>
      <w:rPr>
        <w:rFonts w:ascii="Intel Clear" w:hAnsi="Intel Clear" w:hint="default"/>
      </w:rPr>
    </w:lvl>
    <w:lvl w:ilvl="2" w:tplc="1E2CDDE8">
      <w:start w:val="1"/>
      <w:numFmt w:val="bullet"/>
      <w:lvlText w:val="–"/>
      <w:lvlJc w:val="left"/>
      <w:pPr>
        <w:tabs>
          <w:tab w:val="num" w:pos="2160"/>
        </w:tabs>
        <w:ind w:left="2160" w:hanging="360"/>
      </w:pPr>
      <w:rPr>
        <w:rFonts w:ascii="Intel Clear" w:hAnsi="Intel Clear" w:hint="default"/>
      </w:rPr>
    </w:lvl>
    <w:lvl w:ilvl="3" w:tplc="901632B6" w:tentative="1">
      <w:start w:val="1"/>
      <w:numFmt w:val="bullet"/>
      <w:lvlText w:val="–"/>
      <w:lvlJc w:val="left"/>
      <w:pPr>
        <w:tabs>
          <w:tab w:val="num" w:pos="2880"/>
        </w:tabs>
        <w:ind w:left="2880" w:hanging="360"/>
      </w:pPr>
      <w:rPr>
        <w:rFonts w:ascii="Intel Clear" w:hAnsi="Intel Clear" w:hint="default"/>
      </w:rPr>
    </w:lvl>
    <w:lvl w:ilvl="4" w:tplc="C26C201C" w:tentative="1">
      <w:start w:val="1"/>
      <w:numFmt w:val="bullet"/>
      <w:lvlText w:val="–"/>
      <w:lvlJc w:val="left"/>
      <w:pPr>
        <w:tabs>
          <w:tab w:val="num" w:pos="3600"/>
        </w:tabs>
        <w:ind w:left="3600" w:hanging="360"/>
      </w:pPr>
      <w:rPr>
        <w:rFonts w:ascii="Intel Clear" w:hAnsi="Intel Clear" w:hint="default"/>
      </w:rPr>
    </w:lvl>
    <w:lvl w:ilvl="5" w:tplc="16AAFF52" w:tentative="1">
      <w:start w:val="1"/>
      <w:numFmt w:val="bullet"/>
      <w:lvlText w:val="–"/>
      <w:lvlJc w:val="left"/>
      <w:pPr>
        <w:tabs>
          <w:tab w:val="num" w:pos="4320"/>
        </w:tabs>
        <w:ind w:left="4320" w:hanging="360"/>
      </w:pPr>
      <w:rPr>
        <w:rFonts w:ascii="Intel Clear" w:hAnsi="Intel Clear" w:hint="default"/>
      </w:rPr>
    </w:lvl>
    <w:lvl w:ilvl="6" w:tplc="78F6CFCA" w:tentative="1">
      <w:start w:val="1"/>
      <w:numFmt w:val="bullet"/>
      <w:lvlText w:val="–"/>
      <w:lvlJc w:val="left"/>
      <w:pPr>
        <w:tabs>
          <w:tab w:val="num" w:pos="5040"/>
        </w:tabs>
        <w:ind w:left="5040" w:hanging="360"/>
      </w:pPr>
      <w:rPr>
        <w:rFonts w:ascii="Intel Clear" w:hAnsi="Intel Clear" w:hint="default"/>
      </w:rPr>
    </w:lvl>
    <w:lvl w:ilvl="7" w:tplc="F2042822" w:tentative="1">
      <w:start w:val="1"/>
      <w:numFmt w:val="bullet"/>
      <w:lvlText w:val="–"/>
      <w:lvlJc w:val="left"/>
      <w:pPr>
        <w:tabs>
          <w:tab w:val="num" w:pos="5760"/>
        </w:tabs>
        <w:ind w:left="5760" w:hanging="360"/>
      </w:pPr>
      <w:rPr>
        <w:rFonts w:ascii="Intel Clear" w:hAnsi="Intel Clear" w:hint="default"/>
      </w:rPr>
    </w:lvl>
    <w:lvl w:ilvl="8" w:tplc="0FBE624E"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C3E1D"/>
    <w:multiLevelType w:val="hybridMultilevel"/>
    <w:tmpl w:val="63809656"/>
    <w:lvl w:ilvl="0" w:tplc="FB84B92E">
      <w:start w:val="1"/>
      <w:numFmt w:val="bullet"/>
      <w:lvlText w:val="–"/>
      <w:lvlJc w:val="left"/>
      <w:pPr>
        <w:tabs>
          <w:tab w:val="num" w:pos="720"/>
        </w:tabs>
        <w:ind w:left="720" w:hanging="360"/>
      </w:pPr>
      <w:rPr>
        <w:rFonts w:ascii="Intel Clear" w:hAnsi="Intel Clear" w:hint="default"/>
      </w:rPr>
    </w:lvl>
    <w:lvl w:ilvl="1" w:tplc="92D69724" w:tentative="1">
      <w:start w:val="1"/>
      <w:numFmt w:val="bullet"/>
      <w:lvlText w:val="–"/>
      <w:lvlJc w:val="left"/>
      <w:pPr>
        <w:tabs>
          <w:tab w:val="num" w:pos="1440"/>
        </w:tabs>
        <w:ind w:left="1440" w:hanging="360"/>
      </w:pPr>
      <w:rPr>
        <w:rFonts w:ascii="Intel Clear" w:hAnsi="Intel Clear" w:hint="default"/>
      </w:rPr>
    </w:lvl>
    <w:lvl w:ilvl="2" w:tplc="E87CA026">
      <w:start w:val="1"/>
      <w:numFmt w:val="bullet"/>
      <w:lvlText w:val="–"/>
      <w:lvlJc w:val="left"/>
      <w:pPr>
        <w:tabs>
          <w:tab w:val="num" w:pos="2160"/>
        </w:tabs>
        <w:ind w:left="2160" w:hanging="360"/>
      </w:pPr>
      <w:rPr>
        <w:rFonts w:ascii="Intel Clear" w:hAnsi="Intel Clear" w:hint="default"/>
      </w:rPr>
    </w:lvl>
    <w:lvl w:ilvl="3" w:tplc="4D38B356" w:tentative="1">
      <w:start w:val="1"/>
      <w:numFmt w:val="bullet"/>
      <w:lvlText w:val="–"/>
      <w:lvlJc w:val="left"/>
      <w:pPr>
        <w:tabs>
          <w:tab w:val="num" w:pos="2880"/>
        </w:tabs>
        <w:ind w:left="2880" w:hanging="360"/>
      </w:pPr>
      <w:rPr>
        <w:rFonts w:ascii="Intel Clear" w:hAnsi="Intel Clear" w:hint="default"/>
      </w:rPr>
    </w:lvl>
    <w:lvl w:ilvl="4" w:tplc="62B2DB4C" w:tentative="1">
      <w:start w:val="1"/>
      <w:numFmt w:val="bullet"/>
      <w:lvlText w:val="–"/>
      <w:lvlJc w:val="left"/>
      <w:pPr>
        <w:tabs>
          <w:tab w:val="num" w:pos="3600"/>
        </w:tabs>
        <w:ind w:left="3600" w:hanging="360"/>
      </w:pPr>
      <w:rPr>
        <w:rFonts w:ascii="Intel Clear" w:hAnsi="Intel Clear" w:hint="default"/>
      </w:rPr>
    </w:lvl>
    <w:lvl w:ilvl="5" w:tplc="90E40564" w:tentative="1">
      <w:start w:val="1"/>
      <w:numFmt w:val="bullet"/>
      <w:lvlText w:val="–"/>
      <w:lvlJc w:val="left"/>
      <w:pPr>
        <w:tabs>
          <w:tab w:val="num" w:pos="4320"/>
        </w:tabs>
        <w:ind w:left="4320" w:hanging="360"/>
      </w:pPr>
      <w:rPr>
        <w:rFonts w:ascii="Intel Clear" w:hAnsi="Intel Clear" w:hint="default"/>
      </w:rPr>
    </w:lvl>
    <w:lvl w:ilvl="6" w:tplc="0876079A" w:tentative="1">
      <w:start w:val="1"/>
      <w:numFmt w:val="bullet"/>
      <w:lvlText w:val="–"/>
      <w:lvlJc w:val="left"/>
      <w:pPr>
        <w:tabs>
          <w:tab w:val="num" w:pos="5040"/>
        </w:tabs>
        <w:ind w:left="5040" w:hanging="360"/>
      </w:pPr>
      <w:rPr>
        <w:rFonts w:ascii="Intel Clear" w:hAnsi="Intel Clear" w:hint="default"/>
      </w:rPr>
    </w:lvl>
    <w:lvl w:ilvl="7" w:tplc="F208AF82" w:tentative="1">
      <w:start w:val="1"/>
      <w:numFmt w:val="bullet"/>
      <w:lvlText w:val="–"/>
      <w:lvlJc w:val="left"/>
      <w:pPr>
        <w:tabs>
          <w:tab w:val="num" w:pos="5760"/>
        </w:tabs>
        <w:ind w:left="5760" w:hanging="360"/>
      </w:pPr>
      <w:rPr>
        <w:rFonts w:ascii="Intel Clear" w:hAnsi="Intel Clear" w:hint="default"/>
      </w:rPr>
    </w:lvl>
    <w:lvl w:ilvl="8" w:tplc="7C5413D8" w:tentative="1">
      <w:start w:val="1"/>
      <w:numFmt w:val="bullet"/>
      <w:lvlText w:val="–"/>
      <w:lvlJc w:val="left"/>
      <w:pPr>
        <w:tabs>
          <w:tab w:val="num" w:pos="6480"/>
        </w:tabs>
        <w:ind w:left="6480" w:hanging="360"/>
      </w:pPr>
      <w:rPr>
        <w:rFonts w:ascii="Intel Clear" w:hAnsi="Intel Clear" w:hint="default"/>
      </w:rPr>
    </w:lvl>
  </w:abstractNum>
  <w:abstractNum w:abstractNumId="3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40"/>
  </w:num>
  <w:num w:numId="3">
    <w:abstractNumId w:val="43"/>
  </w:num>
  <w:num w:numId="4">
    <w:abstractNumId w:val="33"/>
  </w:num>
  <w:num w:numId="5">
    <w:abstractNumId w:val="20"/>
  </w:num>
  <w:num w:numId="6">
    <w:abstractNumId w:val="8"/>
  </w:num>
  <w:num w:numId="7">
    <w:abstractNumId w:val="39"/>
  </w:num>
  <w:num w:numId="8">
    <w:abstractNumId w:val="21"/>
  </w:num>
  <w:num w:numId="9">
    <w:abstractNumId w:val="29"/>
  </w:num>
  <w:num w:numId="10">
    <w:abstractNumId w:val="46"/>
  </w:num>
  <w:num w:numId="11">
    <w:abstractNumId w:val="19"/>
  </w:num>
  <w:num w:numId="12">
    <w:abstractNumId w:val="14"/>
  </w:num>
  <w:num w:numId="13">
    <w:abstractNumId w:val="38"/>
  </w:num>
  <w:num w:numId="14">
    <w:abstractNumId w:val="44"/>
  </w:num>
  <w:num w:numId="15">
    <w:abstractNumId w:val="9"/>
  </w:num>
  <w:num w:numId="16">
    <w:abstractNumId w:val="34"/>
  </w:num>
  <w:num w:numId="17">
    <w:abstractNumId w:val="12"/>
  </w:num>
  <w:num w:numId="18">
    <w:abstractNumId w:val="5"/>
  </w:num>
  <w:num w:numId="19">
    <w:abstractNumId w:val="13"/>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3"/>
  </w:num>
  <w:num w:numId="23">
    <w:abstractNumId w:val="16"/>
  </w:num>
  <w:num w:numId="24">
    <w:abstractNumId w:val="37"/>
  </w:num>
  <w:num w:numId="25">
    <w:abstractNumId w:val="6"/>
  </w:num>
  <w:num w:numId="26">
    <w:abstractNumId w:val="41"/>
  </w:num>
  <w:num w:numId="27">
    <w:abstractNumId w:val="45"/>
  </w:num>
  <w:num w:numId="28">
    <w:abstractNumId w:val="3"/>
  </w:num>
  <w:num w:numId="29">
    <w:abstractNumId w:val="32"/>
  </w:num>
  <w:num w:numId="30">
    <w:abstractNumId w:val="42"/>
  </w:num>
  <w:num w:numId="31">
    <w:abstractNumId w:val="4"/>
  </w:num>
  <w:num w:numId="32">
    <w:abstractNumId w:val="30"/>
  </w:num>
  <w:num w:numId="33">
    <w:abstractNumId w:val="35"/>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6"/>
  </w:num>
  <w:num w:numId="36">
    <w:abstractNumId w:val="10"/>
  </w:num>
  <w:num w:numId="37">
    <w:abstractNumId w:val="31"/>
  </w:num>
  <w:num w:numId="38">
    <w:abstractNumId w:val="17"/>
  </w:num>
  <w:num w:numId="39">
    <w:abstractNumId w:val="27"/>
  </w:num>
  <w:num w:numId="40">
    <w:abstractNumId w:val="24"/>
  </w:num>
  <w:num w:numId="41">
    <w:abstractNumId w:val="11"/>
  </w:num>
  <w:num w:numId="42">
    <w:abstractNumId w:val="22"/>
  </w:num>
  <w:num w:numId="43">
    <w:abstractNumId w:val="7"/>
  </w:num>
  <w:num w:numId="44">
    <w:abstractNumId w:val="18"/>
  </w:num>
  <w:num w:numId="45">
    <w:abstractNumId w:val="1"/>
  </w:num>
  <w:num w:numId="46">
    <w:abstractNumId w:val="36"/>
  </w:num>
  <w:num w:numId="47">
    <w:abstractNumId w:val="28"/>
  </w:num>
  <w:num w:numId="4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4CF2"/>
    <w:rsid w:val="00005676"/>
    <w:rsid w:val="00006110"/>
    <w:rsid w:val="00006198"/>
    <w:rsid w:val="0000667F"/>
    <w:rsid w:val="00006C4A"/>
    <w:rsid w:val="00007568"/>
    <w:rsid w:val="000075C6"/>
    <w:rsid w:val="00007C05"/>
    <w:rsid w:val="00010EE0"/>
    <w:rsid w:val="000112DD"/>
    <w:rsid w:val="0001181D"/>
    <w:rsid w:val="00011C44"/>
    <w:rsid w:val="00011E70"/>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C99"/>
    <w:rsid w:val="00022F47"/>
    <w:rsid w:val="000233F8"/>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5F56"/>
    <w:rsid w:val="0003668C"/>
    <w:rsid w:val="00036F26"/>
    <w:rsid w:val="00036F82"/>
    <w:rsid w:val="00037460"/>
    <w:rsid w:val="000378CF"/>
    <w:rsid w:val="0003794F"/>
    <w:rsid w:val="00040016"/>
    <w:rsid w:val="00040F7D"/>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5C6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68F"/>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94D"/>
    <w:rsid w:val="000A0BC7"/>
    <w:rsid w:val="000A1326"/>
    <w:rsid w:val="000A1A26"/>
    <w:rsid w:val="000A1C33"/>
    <w:rsid w:val="000A2153"/>
    <w:rsid w:val="000A2581"/>
    <w:rsid w:val="000A2A53"/>
    <w:rsid w:val="000A2D07"/>
    <w:rsid w:val="000A319B"/>
    <w:rsid w:val="000A31E0"/>
    <w:rsid w:val="000A323C"/>
    <w:rsid w:val="000A3A69"/>
    <w:rsid w:val="000A40BA"/>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53C"/>
    <w:rsid w:val="000B673A"/>
    <w:rsid w:val="000B674E"/>
    <w:rsid w:val="000B6D46"/>
    <w:rsid w:val="000B6D65"/>
    <w:rsid w:val="000B767C"/>
    <w:rsid w:val="000B7761"/>
    <w:rsid w:val="000B79BF"/>
    <w:rsid w:val="000B7BE7"/>
    <w:rsid w:val="000B7E76"/>
    <w:rsid w:val="000C084C"/>
    <w:rsid w:val="000C086D"/>
    <w:rsid w:val="000C0943"/>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5CCC"/>
    <w:rsid w:val="000D600A"/>
    <w:rsid w:val="000D69FE"/>
    <w:rsid w:val="000D6B70"/>
    <w:rsid w:val="000D7224"/>
    <w:rsid w:val="000D73DA"/>
    <w:rsid w:val="000D73DE"/>
    <w:rsid w:val="000D7652"/>
    <w:rsid w:val="000E04BA"/>
    <w:rsid w:val="000E0602"/>
    <w:rsid w:val="000E0C7F"/>
    <w:rsid w:val="000E1041"/>
    <w:rsid w:val="000E2002"/>
    <w:rsid w:val="000E2C23"/>
    <w:rsid w:val="000E2D6F"/>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FA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0990"/>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405B5"/>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46C"/>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43A3"/>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4F56"/>
    <w:rsid w:val="001B58BE"/>
    <w:rsid w:val="001B6982"/>
    <w:rsid w:val="001B6B77"/>
    <w:rsid w:val="001B6B8F"/>
    <w:rsid w:val="001B6ECB"/>
    <w:rsid w:val="001B6FC7"/>
    <w:rsid w:val="001B718C"/>
    <w:rsid w:val="001C08CC"/>
    <w:rsid w:val="001C146F"/>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097"/>
    <w:rsid w:val="001E660C"/>
    <w:rsid w:val="001E6CA2"/>
    <w:rsid w:val="001F082A"/>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5C00"/>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4655"/>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4A6"/>
    <w:rsid w:val="002604B0"/>
    <w:rsid w:val="00260619"/>
    <w:rsid w:val="00260BE2"/>
    <w:rsid w:val="00261335"/>
    <w:rsid w:val="00261AC2"/>
    <w:rsid w:val="002635B5"/>
    <w:rsid w:val="002635B6"/>
    <w:rsid w:val="002635C2"/>
    <w:rsid w:val="0026399D"/>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659"/>
    <w:rsid w:val="002739D3"/>
    <w:rsid w:val="00274205"/>
    <w:rsid w:val="0027453E"/>
    <w:rsid w:val="00275C7F"/>
    <w:rsid w:val="00275FE1"/>
    <w:rsid w:val="00276475"/>
    <w:rsid w:val="002766D9"/>
    <w:rsid w:val="002778DC"/>
    <w:rsid w:val="00277B68"/>
    <w:rsid w:val="00277E13"/>
    <w:rsid w:val="00277EC1"/>
    <w:rsid w:val="0028010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6B14"/>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13"/>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6B4"/>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1E2"/>
    <w:rsid w:val="00313A0A"/>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05F3"/>
    <w:rsid w:val="0033075D"/>
    <w:rsid w:val="003312B1"/>
    <w:rsid w:val="003324CA"/>
    <w:rsid w:val="003325B0"/>
    <w:rsid w:val="00332DD8"/>
    <w:rsid w:val="00332E3C"/>
    <w:rsid w:val="0033316A"/>
    <w:rsid w:val="003334E9"/>
    <w:rsid w:val="0033433A"/>
    <w:rsid w:val="00334FFC"/>
    <w:rsid w:val="003359A3"/>
    <w:rsid w:val="00336208"/>
    <w:rsid w:val="00336963"/>
    <w:rsid w:val="00337613"/>
    <w:rsid w:val="00337A5E"/>
    <w:rsid w:val="0034035A"/>
    <w:rsid w:val="003408F8"/>
    <w:rsid w:val="00340F1E"/>
    <w:rsid w:val="0034157C"/>
    <w:rsid w:val="003415A0"/>
    <w:rsid w:val="00341AAA"/>
    <w:rsid w:val="00341B16"/>
    <w:rsid w:val="003427F4"/>
    <w:rsid w:val="00342DA0"/>
    <w:rsid w:val="00343FF4"/>
    <w:rsid w:val="0034478F"/>
    <w:rsid w:val="00344876"/>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6C2E"/>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CC9"/>
    <w:rsid w:val="00394EE3"/>
    <w:rsid w:val="0039533D"/>
    <w:rsid w:val="003959B1"/>
    <w:rsid w:val="003961A7"/>
    <w:rsid w:val="00396303"/>
    <w:rsid w:val="003964AE"/>
    <w:rsid w:val="00396FEC"/>
    <w:rsid w:val="003A06B7"/>
    <w:rsid w:val="003A0CD8"/>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912"/>
    <w:rsid w:val="003D2A12"/>
    <w:rsid w:val="003D2A18"/>
    <w:rsid w:val="003D337D"/>
    <w:rsid w:val="003D3513"/>
    <w:rsid w:val="003D3F68"/>
    <w:rsid w:val="003D47DF"/>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838"/>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983"/>
    <w:rsid w:val="00457EE2"/>
    <w:rsid w:val="00460472"/>
    <w:rsid w:val="004612FD"/>
    <w:rsid w:val="00461BEC"/>
    <w:rsid w:val="004622FE"/>
    <w:rsid w:val="00462ED0"/>
    <w:rsid w:val="00462F48"/>
    <w:rsid w:val="00463644"/>
    <w:rsid w:val="004639EC"/>
    <w:rsid w:val="00463B2B"/>
    <w:rsid w:val="00463F33"/>
    <w:rsid w:val="00463F81"/>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338C"/>
    <w:rsid w:val="0047373C"/>
    <w:rsid w:val="00474729"/>
    <w:rsid w:val="00474CEA"/>
    <w:rsid w:val="00474D6E"/>
    <w:rsid w:val="00474FDB"/>
    <w:rsid w:val="0047586F"/>
    <w:rsid w:val="00475ACA"/>
    <w:rsid w:val="00475DBC"/>
    <w:rsid w:val="004764CF"/>
    <w:rsid w:val="00476CD7"/>
    <w:rsid w:val="00476ED8"/>
    <w:rsid w:val="00477349"/>
    <w:rsid w:val="00477AFF"/>
    <w:rsid w:val="00477B80"/>
    <w:rsid w:val="004804A8"/>
    <w:rsid w:val="004805C1"/>
    <w:rsid w:val="00480A14"/>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104"/>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391"/>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2DBE"/>
    <w:rsid w:val="004A3118"/>
    <w:rsid w:val="004A39B8"/>
    <w:rsid w:val="004A454B"/>
    <w:rsid w:val="004A4BB2"/>
    <w:rsid w:val="004A5518"/>
    <w:rsid w:val="004A5950"/>
    <w:rsid w:val="004A7B1E"/>
    <w:rsid w:val="004A7F10"/>
    <w:rsid w:val="004B09BD"/>
    <w:rsid w:val="004B0DEA"/>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2E34"/>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1E78"/>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0FB"/>
    <w:rsid w:val="00505386"/>
    <w:rsid w:val="005068E4"/>
    <w:rsid w:val="00506CAE"/>
    <w:rsid w:val="00507893"/>
    <w:rsid w:val="00507B00"/>
    <w:rsid w:val="00507B9C"/>
    <w:rsid w:val="00510751"/>
    <w:rsid w:val="00510E7A"/>
    <w:rsid w:val="005113D6"/>
    <w:rsid w:val="00511476"/>
    <w:rsid w:val="00512119"/>
    <w:rsid w:val="005125BB"/>
    <w:rsid w:val="0051261D"/>
    <w:rsid w:val="00512DE3"/>
    <w:rsid w:val="00512F21"/>
    <w:rsid w:val="005136CC"/>
    <w:rsid w:val="00514CC8"/>
    <w:rsid w:val="00515955"/>
    <w:rsid w:val="00515C6A"/>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2B1E"/>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0D9"/>
    <w:rsid w:val="005423B4"/>
    <w:rsid w:val="00543144"/>
    <w:rsid w:val="00543333"/>
    <w:rsid w:val="00543E40"/>
    <w:rsid w:val="00544F7A"/>
    <w:rsid w:val="00545421"/>
    <w:rsid w:val="00546197"/>
    <w:rsid w:val="00547AF9"/>
    <w:rsid w:val="00547B0A"/>
    <w:rsid w:val="00547E4F"/>
    <w:rsid w:val="00550CA9"/>
    <w:rsid w:val="00551CB0"/>
    <w:rsid w:val="00551FCA"/>
    <w:rsid w:val="0055304D"/>
    <w:rsid w:val="00553130"/>
    <w:rsid w:val="0055326C"/>
    <w:rsid w:val="0055482E"/>
    <w:rsid w:val="00554B68"/>
    <w:rsid w:val="00554F48"/>
    <w:rsid w:val="00554FB3"/>
    <w:rsid w:val="005552B2"/>
    <w:rsid w:val="005556F0"/>
    <w:rsid w:val="00555C07"/>
    <w:rsid w:val="005576F7"/>
    <w:rsid w:val="00560492"/>
    <w:rsid w:val="005607A9"/>
    <w:rsid w:val="00561F4B"/>
    <w:rsid w:val="005629F2"/>
    <w:rsid w:val="00562A27"/>
    <w:rsid w:val="00565866"/>
    <w:rsid w:val="005658A5"/>
    <w:rsid w:val="005676E4"/>
    <w:rsid w:val="0056772B"/>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CD8"/>
    <w:rsid w:val="005C5E39"/>
    <w:rsid w:val="005C5F4D"/>
    <w:rsid w:val="005C5FEB"/>
    <w:rsid w:val="005C6357"/>
    <w:rsid w:val="005C67A2"/>
    <w:rsid w:val="005C68D3"/>
    <w:rsid w:val="005C6E87"/>
    <w:rsid w:val="005C6EA5"/>
    <w:rsid w:val="005C79EE"/>
    <w:rsid w:val="005D10EA"/>
    <w:rsid w:val="005D15AF"/>
    <w:rsid w:val="005D1853"/>
    <w:rsid w:val="005D1A0F"/>
    <w:rsid w:val="005D3511"/>
    <w:rsid w:val="005D378B"/>
    <w:rsid w:val="005D4ED6"/>
    <w:rsid w:val="005D6D99"/>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A21"/>
    <w:rsid w:val="005E6BCB"/>
    <w:rsid w:val="005E7016"/>
    <w:rsid w:val="005E7729"/>
    <w:rsid w:val="005E7A84"/>
    <w:rsid w:val="005E7E5C"/>
    <w:rsid w:val="005F0059"/>
    <w:rsid w:val="005F03E6"/>
    <w:rsid w:val="005F07DD"/>
    <w:rsid w:val="005F1180"/>
    <w:rsid w:val="005F15A5"/>
    <w:rsid w:val="005F2549"/>
    <w:rsid w:val="005F2818"/>
    <w:rsid w:val="005F2A90"/>
    <w:rsid w:val="005F30B5"/>
    <w:rsid w:val="005F3AB7"/>
    <w:rsid w:val="005F3CB3"/>
    <w:rsid w:val="005F4549"/>
    <w:rsid w:val="005F4FE7"/>
    <w:rsid w:val="005F5101"/>
    <w:rsid w:val="005F5778"/>
    <w:rsid w:val="005F6572"/>
    <w:rsid w:val="005F76A4"/>
    <w:rsid w:val="005F7971"/>
    <w:rsid w:val="00600EAD"/>
    <w:rsid w:val="006012EE"/>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711D"/>
    <w:rsid w:val="00657394"/>
    <w:rsid w:val="006606E2"/>
    <w:rsid w:val="006608E6"/>
    <w:rsid w:val="00660FC0"/>
    <w:rsid w:val="00661DE8"/>
    <w:rsid w:val="006627C9"/>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55"/>
    <w:rsid w:val="006744D9"/>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23C"/>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3F3F"/>
    <w:rsid w:val="006B4115"/>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9C4"/>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063"/>
    <w:rsid w:val="006D3D0F"/>
    <w:rsid w:val="006D4241"/>
    <w:rsid w:val="006D46CB"/>
    <w:rsid w:val="006D4A70"/>
    <w:rsid w:val="006D5052"/>
    <w:rsid w:val="006D541C"/>
    <w:rsid w:val="006D565E"/>
    <w:rsid w:val="006D59DD"/>
    <w:rsid w:val="006D5CC7"/>
    <w:rsid w:val="006D6145"/>
    <w:rsid w:val="006D6CFF"/>
    <w:rsid w:val="006D7081"/>
    <w:rsid w:val="006D7134"/>
    <w:rsid w:val="006D7B27"/>
    <w:rsid w:val="006D7D34"/>
    <w:rsid w:val="006E0C56"/>
    <w:rsid w:val="006E1624"/>
    <w:rsid w:val="006E178F"/>
    <w:rsid w:val="006E1B28"/>
    <w:rsid w:val="006E1CAA"/>
    <w:rsid w:val="006E1D6C"/>
    <w:rsid w:val="006E213C"/>
    <w:rsid w:val="006E21A6"/>
    <w:rsid w:val="006E249F"/>
    <w:rsid w:val="006E2548"/>
    <w:rsid w:val="006E257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1CCA"/>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759"/>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37B7"/>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47BC4"/>
    <w:rsid w:val="0075051D"/>
    <w:rsid w:val="0075162C"/>
    <w:rsid w:val="007518C0"/>
    <w:rsid w:val="00751CF0"/>
    <w:rsid w:val="0075227C"/>
    <w:rsid w:val="00752632"/>
    <w:rsid w:val="00753033"/>
    <w:rsid w:val="00753908"/>
    <w:rsid w:val="00753A6B"/>
    <w:rsid w:val="00753E15"/>
    <w:rsid w:val="0075425A"/>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4A13"/>
    <w:rsid w:val="007754EA"/>
    <w:rsid w:val="007758C9"/>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3FDB"/>
    <w:rsid w:val="007B44BA"/>
    <w:rsid w:val="007B44DD"/>
    <w:rsid w:val="007B46DD"/>
    <w:rsid w:val="007B4EF8"/>
    <w:rsid w:val="007B5195"/>
    <w:rsid w:val="007B51E1"/>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5B20"/>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CD1"/>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0E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C3"/>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65A6"/>
    <w:rsid w:val="00876906"/>
    <w:rsid w:val="008772BE"/>
    <w:rsid w:val="0087777D"/>
    <w:rsid w:val="00877F16"/>
    <w:rsid w:val="00880F6C"/>
    <w:rsid w:val="00881166"/>
    <w:rsid w:val="00881712"/>
    <w:rsid w:val="00881D0A"/>
    <w:rsid w:val="00882ACF"/>
    <w:rsid w:val="00882E2E"/>
    <w:rsid w:val="00883201"/>
    <w:rsid w:val="00883590"/>
    <w:rsid w:val="00883CF5"/>
    <w:rsid w:val="00883D7E"/>
    <w:rsid w:val="00883EEA"/>
    <w:rsid w:val="00884495"/>
    <w:rsid w:val="0088486F"/>
    <w:rsid w:val="00884924"/>
    <w:rsid w:val="00884952"/>
    <w:rsid w:val="0088499F"/>
    <w:rsid w:val="00884B5D"/>
    <w:rsid w:val="00884C9A"/>
    <w:rsid w:val="008854F0"/>
    <w:rsid w:val="00885C1D"/>
    <w:rsid w:val="00885CB4"/>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1C3"/>
    <w:rsid w:val="008C23A2"/>
    <w:rsid w:val="008C2477"/>
    <w:rsid w:val="008C3023"/>
    <w:rsid w:val="008C371D"/>
    <w:rsid w:val="008C403E"/>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6F4"/>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270"/>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2516"/>
    <w:rsid w:val="009337B9"/>
    <w:rsid w:val="009339EC"/>
    <w:rsid w:val="00933ACE"/>
    <w:rsid w:val="009340B4"/>
    <w:rsid w:val="00934696"/>
    <w:rsid w:val="009349A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29D0"/>
    <w:rsid w:val="0095306F"/>
    <w:rsid w:val="009536E5"/>
    <w:rsid w:val="0095381A"/>
    <w:rsid w:val="00953893"/>
    <w:rsid w:val="00953EA9"/>
    <w:rsid w:val="00954F65"/>
    <w:rsid w:val="00954FA2"/>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8F0"/>
    <w:rsid w:val="0097094F"/>
    <w:rsid w:val="00970B0E"/>
    <w:rsid w:val="00970BDC"/>
    <w:rsid w:val="00970CE1"/>
    <w:rsid w:val="00971579"/>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1E6D"/>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5C0C"/>
    <w:rsid w:val="0099652B"/>
    <w:rsid w:val="00996701"/>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A7851"/>
    <w:rsid w:val="009B0F23"/>
    <w:rsid w:val="009B17EC"/>
    <w:rsid w:val="009B1F09"/>
    <w:rsid w:val="009B2851"/>
    <w:rsid w:val="009B2DD8"/>
    <w:rsid w:val="009B3499"/>
    <w:rsid w:val="009B376F"/>
    <w:rsid w:val="009B3875"/>
    <w:rsid w:val="009B3989"/>
    <w:rsid w:val="009B3D17"/>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398"/>
    <w:rsid w:val="009E6470"/>
    <w:rsid w:val="009E6F04"/>
    <w:rsid w:val="009F08EF"/>
    <w:rsid w:val="009F16A6"/>
    <w:rsid w:val="009F18DE"/>
    <w:rsid w:val="009F1AF6"/>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16C"/>
    <w:rsid w:val="00A10635"/>
    <w:rsid w:val="00A10BBB"/>
    <w:rsid w:val="00A10D63"/>
    <w:rsid w:val="00A115E2"/>
    <w:rsid w:val="00A11B97"/>
    <w:rsid w:val="00A13114"/>
    <w:rsid w:val="00A138B5"/>
    <w:rsid w:val="00A13D7D"/>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7BF"/>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2F0D"/>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073"/>
    <w:rsid w:val="00A942C2"/>
    <w:rsid w:val="00A94C4C"/>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A797D"/>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27E"/>
    <w:rsid w:val="00AC015C"/>
    <w:rsid w:val="00AC1807"/>
    <w:rsid w:val="00AC1D9E"/>
    <w:rsid w:val="00AC1DAE"/>
    <w:rsid w:val="00AC2453"/>
    <w:rsid w:val="00AC3132"/>
    <w:rsid w:val="00AC4329"/>
    <w:rsid w:val="00AC52E3"/>
    <w:rsid w:val="00AC5549"/>
    <w:rsid w:val="00AC58B4"/>
    <w:rsid w:val="00AC6C3A"/>
    <w:rsid w:val="00AC6D06"/>
    <w:rsid w:val="00AC7012"/>
    <w:rsid w:val="00AC753D"/>
    <w:rsid w:val="00AC7694"/>
    <w:rsid w:val="00AC7CF2"/>
    <w:rsid w:val="00AD032F"/>
    <w:rsid w:val="00AD14F3"/>
    <w:rsid w:val="00AD2589"/>
    <w:rsid w:val="00AD2959"/>
    <w:rsid w:val="00AD2DF4"/>
    <w:rsid w:val="00AD3125"/>
    <w:rsid w:val="00AD34C6"/>
    <w:rsid w:val="00AD410E"/>
    <w:rsid w:val="00AD4BB3"/>
    <w:rsid w:val="00AD4F75"/>
    <w:rsid w:val="00AD4F7D"/>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3AC"/>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6A7"/>
    <w:rsid w:val="00B42E08"/>
    <w:rsid w:val="00B43151"/>
    <w:rsid w:val="00B431F6"/>
    <w:rsid w:val="00B432A5"/>
    <w:rsid w:val="00B43CE6"/>
    <w:rsid w:val="00B43F81"/>
    <w:rsid w:val="00B45238"/>
    <w:rsid w:val="00B45649"/>
    <w:rsid w:val="00B45A18"/>
    <w:rsid w:val="00B46047"/>
    <w:rsid w:val="00B46142"/>
    <w:rsid w:val="00B46A66"/>
    <w:rsid w:val="00B47039"/>
    <w:rsid w:val="00B509FF"/>
    <w:rsid w:val="00B512F2"/>
    <w:rsid w:val="00B5194E"/>
    <w:rsid w:val="00B5226E"/>
    <w:rsid w:val="00B53267"/>
    <w:rsid w:val="00B53BF9"/>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2FBC"/>
    <w:rsid w:val="00B73408"/>
    <w:rsid w:val="00B745E0"/>
    <w:rsid w:val="00B755FD"/>
    <w:rsid w:val="00B758B8"/>
    <w:rsid w:val="00B7658D"/>
    <w:rsid w:val="00B76602"/>
    <w:rsid w:val="00B778AA"/>
    <w:rsid w:val="00B806A3"/>
    <w:rsid w:val="00B8077E"/>
    <w:rsid w:val="00B81226"/>
    <w:rsid w:val="00B81794"/>
    <w:rsid w:val="00B82F31"/>
    <w:rsid w:val="00B83265"/>
    <w:rsid w:val="00B83A4D"/>
    <w:rsid w:val="00B83B41"/>
    <w:rsid w:val="00B843BF"/>
    <w:rsid w:val="00B84464"/>
    <w:rsid w:val="00B84557"/>
    <w:rsid w:val="00B8494C"/>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A7DD0"/>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CE4"/>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5F0D"/>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B2"/>
    <w:rsid w:val="00BE2082"/>
    <w:rsid w:val="00BE22E0"/>
    <w:rsid w:val="00BE23BB"/>
    <w:rsid w:val="00BE2650"/>
    <w:rsid w:val="00BE288D"/>
    <w:rsid w:val="00BE3F08"/>
    <w:rsid w:val="00BE412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1C1B"/>
    <w:rsid w:val="00C021AE"/>
    <w:rsid w:val="00C022D4"/>
    <w:rsid w:val="00C02602"/>
    <w:rsid w:val="00C02D44"/>
    <w:rsid w:val="00C03150"/>
    <w:rsid w:val="00C04709"/>
    <w:rsid w:val="00C07FC4"/>
    <w:rsid w:val="00C10264"/>
    <w:rsid w:val="00C10EE8"/>
    <w:rsid w:val="00C115AD"/>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902"/>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1F4"/>
    <w:rsid w:val="00C36BD4"/>
    <w:rsid w:val="00C37602"/>
    <w:rsid w:val="00C37693"/>
    <w:rsid w:val="00C3791A"/>
    <w:rsid w:val="00C37FC9"/>
    <w:rsid w:val="00C40999"/>
    <w:rsid w:val="00C40AB4"/>
    <w:rsid w:val="00C40AE2"/>
    <w:rsid w:val="00C41F77"/>
    <w:rsid w:val="00C42330"/>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5D74"/>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7FB"/>
    <w:rsid w:val="00C76A00"/>
    <w:rsid w:val="00C76B01"/>
    <w:rsid w:val="00C807D8"/>
    <w:rsid w:val="00C8082A"/>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6061"/>
    <w:rsid w:val="00C96481"/>
    <w:rsid w:val="00C9682F"/>
    <w:rsid w:val="00C96CA0"/>
    <w:rsid w:val="00C972AB"/>
    <w:rsid w:val="00CA0892"/>
    <w:rsid w:val="00CA09C2"/>
    <w:rsid w:val="00CA10F6"/>
    <w:rsid w:val="00CA170F"/>
    <w:rsid w:val="00CA1846"/>
    <w:rsid w:val="00CA3F59"/>
    <w:rsid w:val="00CA406D"/>
    <w:rsid w:val="00CA4689"/>
    <w:rsid w:val="00CA4CFD"/>
    <w:rsid w:val="00CA505E"/>
    <w:rsid w:val="00CA519A"/>
    <w:rsid w:val="00CA5289"/>
    <w:rsid w:val="00CA541F"/>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6E0E"/>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33E9"/>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0DEE"/>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8CF"/>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43D4"/>
    <w:rsid w:val="00D25FDA"/>
    <w:rsid w:val="00D26087"/>
    <w:rsid w:val="00D260E9"/>
    <w:rsid w:val="00D26419"/>
    <w:rsid w:val="00D26463"/>
    <w:rsid w:val="00D2681B"/>
    <w:rsid w:val="00D27273"/>
    <w:rsid w:val="00D273DE"/>
    <w:rsid w:val="00D31226"/>
    <w:rsid w:val="00D31AFA"/>
    <w:rsid w:val="00D3265C"/>
    <w:rsid w:val="00D32F25"/>
    <w:rsid w:val="00D33DB2"/>
    <w:rsid w:val="00D346AF"/>
    <w:rsid w:val="00D34B7F"/>
    <w:rsid w:val="00D35BAA"/>
    <w:rsid w:val="00D360B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19F2"/>
    <w:rsid w:val="00D62125"/>
    <w:rsid w:val="00D62329"/>
    <w:rsid w:val="00D628A3"/>
    <w:rsid w:val="00D63479"/>
    <w:rsid w:val="00D640E9"/>
    <w:rsid w:val="00D64C92"/>
    <w:rsid w:val="00D65150"/>
    <w:rsid w:val="00D6534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44BF"/>
    <w:rsid w:val="00D8584A"/>
    <w:rsid w:val="00D85CD8"/>
    <w:rsid w:val="00D8720A"/>
    <w:rsid w:val="00D875B1"/>
    <w:rsid w:val="00D87A50"/>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B7F85"/>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183"/>
    <w:rsid w:val="00DE13D5"/>
    <w:rsid w:val="00DE13E4"/>
    <w:rsid w:val="00DE25C9"/>
    <w:rsid w:val="00DE2A5B"/>
    <w:rsid w:val="00DE333D"/>
    <w:rsid w:val="00DE4447"/>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6BF"/>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0A5F"/>
    <w:rsid w:val="00E1181A"/>
    <w:rsid w:val="00E11966"/>
    <w:rsid w:val="00E12206"/>
    <w:rsid w:val="00E12C9F"/>
    <w:rsid w:val="00E132BE"/>
    <w:rsid w:val="00E13333"/>
    <w:rsid w:val="00E13CE9"/>
    <w:rsid w:val="00E14582"/>
    <w:rsid w:val="00E147C7"/>
    <w:rsid w:val="00E14ACF"/>
    <w:rsid w:val="00E1538E"/>
    <w:rsid w:val="00E1543D"/>
    <w:rsid w:val="00E15E02"/>
    <w:rsid w:val="00E15E63"/>
    <w:rsid w:val="00E1659E"/>
    <w:rsid w:val="00E1689F"/>
    <w:rsid w:val="00E16CAC"/>
    <w:rsid w:val="00E17789"/>
    <w:rsid w:val="00E17D20"/>
    <w:rsid w:val="00E2017B"/>
    <w:rsid w:val="00E20428"/>
    <w:rsid w:val="00E21FF2"/>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650"/>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F37"/>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BF"/>
    <w:rsid w:val="00E818C1"/>
    <w:rsid w:val="00E81C94"/>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6A5"/>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1A3"/>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168"/>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BE1"/>
    <w:rsid w:val="00EF7C60"/>
    <w:rsid w:val="00F003BB"/>
    <w:rsid w:val="00F0056E"/>
    <w:rsid w:val="00F00E96"/>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AFF"/>
    <w:rsid w:val="00F24C7C"/>
    <w:rsid w:val="00F2566F"/>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62C"/>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2C51"/>
    <w:rsid w:val="00F53A43"/>
    <w:rsid w:val="00F53D7A"/>
    <w:rsid w:val="00F542AA"/>
    <w:rsid w:val="00F54DA8"/>
    <w:rsid w:val="00F54EF8"/>
    <w:rsid w:val="00F550AE"/>
    <w:rsid w:val="00F553D8"/>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A0D"/>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14D"/>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3470"/>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38430855">
      <w:bodyDiv w:val="1"/>
      <w:marLeft w:val="0"/>
      <w:marRight w:val="0"/>
      <w:marTop w:val="0"/>
      <w:marBottom w:val="0"/>
      <w:divBdr>
        <w:top w:val="none" w:sz="0" w:space="0" w:color="auto"/>
        <w:left w:val="none" w:sz="0" w:space="0" w:color="auto"/>
        <w:bottom w:val="none" w:sz="0" w:space="0" w:color="auto"/>
        <w:right w:val="none" w:sz="0" w:space="0" w:color="auto"/>
      </w:divBdr>
      <w:divsChild>
        <w:div w:id="1501431612">
          <w:marLeft w:val="835"/>
          <w:marRight w:val="0"/>
          <w:marTop w:val="1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3423626">
      <w:bodyDiv w:val="1"/>
      <w:marLeft w:val="0"/>
      <w:marRight w:val="0"/>
      <w:marTop w:val="0"/>
      <w:marBottom w:val="0"/>
      <w:divBdr>
        <w:top w:val="none" w:sz="0" w:space="0" w:color="auto"/>
        <w:left w:val="none" w:sz="0" w:space="0" w:color="auto"/>
        <w:bottom w:val="none" w:sz="0" w:space="0" w:color="auto"/>
        <w:right w:val="none" w:sz="0" w:space="0" w:color="auto"/>
      </w:divBdr>
      <w:divsChild>
        <w:div w:id="1408651895">
          <w:marLeft w:val="835"/>
          <w:marRight w:val="0"/>
          <w:marTop w:val="160"/>
          <w:marBottom w:val="0"/>
          <w:divBdr>
            <w:top w:val="none" w:sz="0" w:space="0" w:color="auto"/>
            <w:left w:val="none" w:sz="0" w:space="0" w:color="auto"/>
            <w:bottom w:val="none" w:sz="0" w:space="0" w:color="auto"/>
            <w:right w:val="none" w:sz="0" w:space="0" w:color="auto"/>
          </w:divBdr>
        </w:div>
      </w:divsChild>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0453887">
      <w:bodyDiv w:val="1"/>
      <w:marLeft w:val="0"/>
      <w:marRight w:val="0"/>
      <w:marTop w:val="0"/>
      <w:marBottom w:val="0"/>
      <w:divBdr>
        <w:top w:val="none" w:sz="0" w:space="0" w:color="auto"/>
        <w:left w:val="none" w:sz="0" w:space="0" w:color="auto"/>
        <w:bottom w:val="none" w:sz="0" w:space="0" w:color="auto"/>
        <w:right w:val="none" w:sz="0" w:space="0" w:color="auto"/>
      </w:divBdr>
      <w:divsChild>
        <w:div w:id="1328485036">
          <w:marLeft w:val="835"/>
          <w:marRight w:val="0"/>
          <w:marTop w:val="160"/>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A6D27-6F6A-43A8-8A06-74E3199D2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8416</TotalTime>
  <Pages>3</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96</cp:revision>
  <cp:lastPrinted>2019-04-07T08:48:00Z</cp:lastPrinted>
  <dcterms:created xsi:type="dcterms:W3CDTF">2019-11-07T20:53:00Z</dcterms:created>
  <dcterms:modified xsi:type="dcterms:W3CDTF">2020-10-23T18:57:00Z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TSCG CENTRAL GROUP</vt:lpwstr>
  </property>
  <property fmtid="{D5CDD505-2E9C-101B-9397-08002B2CF9AE}" pid="13" name="CTP_TimeStamp">
    <vt:lpwstr>2020-08-06 23:37:29Z</vt:lpwstr>
  </property>
  <property fmtid="{D5CDD505-2E9C-101B-9397-08002B2CF9AE}" pid="14" name="_ReviewingToolsShownOnce">
    <vt:lpwstr/>
  </property>
  <property fmtid="{D5CDD505-2E9C-101B-9397-08002B2CF9AE}" pid="15" name="CTPClassification">
    <vt:lpwstr>CTP_IC</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tao.xu@intel.com</vt:lpwstr>
  </property>
  <property fmtid="{D5CDD505-2E9C-101B-9397-08002B2CF9AE}" pid="19" name="MSIP_Label_9aa06179-68b3-4e2b-b09b-a2424735516b_SetDate">
    <vt:lpwstr>2020-10-04T03:06:56.1950055Z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4c230598-eb69-4ae7-955c-c52070f1eb0d</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ies>
</file>